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84734" w14:textId="43D78E99" w:rsidR="001F6391" w:rsidRPr="00A16077" w:rsidRDefault="006C69F3" w:rsidP="008306A7">
      <w:pPr>
        <w:spacing w:after="360"/>
        <w:jc w:val="center"/>
        <w:rPr>
          <w:rFonts w:ascii="Verdana" w:hAnsi="Verdana"/>
          <w:b/>
          <w:sz w:val="20"/>
          <w:szCs w:val="20"/>
        </w:rPr>
      </w:pPr>
      <w:r>
        <w:rPr>
          <w:rFonts w:ascii="Verdana" w:hAnsi="Verdana"/>
          <w:b/>
          <w:sz w:val="20"/>
          <w:szCs w:val="20"/>
        </w:rPr>
        <w:t>P</w:t>
      </w:r>
      <w:r w:rsidR="001F6391" w:rsidRPr="00A16077">
        <w:rPr>
          <w:rFonts w:ascii="Verdana" w:hAnsi="Verdana"/>
          <w:b/>
          <w:sz w:val="20"/>
          <w:szCs w:val="20"/>
        </w:rPr>
        <w:t xml:space="preserve">rotokół z konsultacji społecznych </w:t>
      </w:r>
      <w:r w:rsidR="009E4881" w:rsidRPr="009E4881">
        <w:rPr>
          <w:rFonts w:ascii="Verdana" w:hAnsi="Verdana"/>
          <w:b/>
          <w:sz w:val="20"/>
          <w:szCs w:val="20"/>
        </w:rPr>
        <w:t>projektu uchwały Rady Miasta Gliwice w</w:t>
      </w:r>
      <w:r w:rsidR="00574E9A">
        <w:rPr>
          <w:rFonts w:ascii="Verdana" w:hAnsi="Verdana"/>
          <w:b/>
          <w:sz w:val="20"/>
          <w:szCs w:val="20"/>
        </w:rPr>
        <w:t> </w:t>
      </w:r>
      <w:r w:rsidR="009E4881" w:rsidRPr="009E4881">
        <w:rPr>
          <w:rFonts w:ascii="Verdana" w:hAnsi="Verdana"/>
          <w:b/>
          <w:sz w:val="20"/>
          <w:szCs w:val="20"/>
        </w:rPr>
        <w:t>sprawie przyjęcia do realizacji "Strategii rozwiązywania problemów społecznych dla miasta Gliwice na lata 2026-2032".</w:t>
      </w:r>
    </w:p>
    <w:p w14:paraId="11BC99BE" w14:textId="2382BFB0" w:rsidR="001F6391" w:rsidRPr="00A16077" w:rsidRDefault="009E4881" w:rsidP="00610BA0">
      <w:pPr>
        <w:pStyle w:val="Default"/>
        <w:numPr>
          <w:ilvl w:val="0"/>
          <w:numId w:val="19"/>
        </w:numPr>
        <w:spacing w:before="120" w:after="120"/>
        <w:ind w:left="284" w:hanging="284"/>
        <w:jc w:val="both"/>
        <w:rPr>
          <w:sz w:val="20"/>
          <w:szCs w:val="20"/>
        </w:rPr>
      </w:pPr>
      <w:r>
        <w:rPr>
          <w:sz w:val="20"/>
          <w:szCs w:val="20"/>
        </w:rPr>
        <w:t>Konsultacje przeprowadzono n</w:t>
      </w:r>
      <w:r w:rsidR="00B24F25" w:rsidRPr="00B24F25">
        <w:rPr>
          <w:sz w:val="20"/>
          <w:szCs w:val="20"/>
        </w:rPr>
        <w:t>a podstawie art. 30 ust. 1 ustawy z dnia 8 marca 1990 r. o samorządzie gminnym (</w:t>
      </w:r>
      <w:proofErr w:type="spellStart"/>
      <w:r w:rsidR="00B24F25" w:rsidRPr="00B24F25">
        <w:rPr>
          <w:sz w:val="20"/>
          <w:szCs w:val="20"/>
        </w:rPr>
        <w:t>t.j</w:t>
      </w:r>
      <w:proofErr w:type="spellEnd"/>
      <w:r w:rsidR="00B24F25" w:rsidRPr="00B24F25">
        <w:rPr>
          <w:sz w:val="20"/>
          <w:szCs w:val="20"/>
        </w:rPr>
        <w:t xml:space="preserve">. Dz.U. z 2025 r. poz. 1153 z </w:t>
      </w:r>
      <w:proofErr w:type="spellStart"/>
      <w:r w:rsidR="00B24F25" w:rsidRPr="00B24F25">
        <w:rPr>
          <w:sz w:val="20"/>
          <w:szCs w:val="20"/>
        </w:rPr>
        <w:t>późn</w:t>
      </w:r>
      <w:proofErr w:type="spellEnd"/>
      <w:r w:rsidR="00B24F25" w:rsidRPr="00B24F25">
        <w:rPr>
          <w:sz w:val="20"/>
          <w:szCs w:val="20"/>
        </w:rPr>
        <w:t>. zm.), art. 5 ust. 2 pkt 3 i</w:t>
      </w:r>
      <w:r>
        <w:rPr>
          <w:sz w:val="20"/>
          <w:szCs w:val="20"/>
        </w:rPr>
        <w:t> </w:t>
      </w:r>
      <w:r w:rsidR="00B24F25" w:rsidRPr="00B24F25">
        <w:rPr>
          <w:sz w:val="20"/>
          <w:szCs w:val="20"/>
        </w:rPr>
        <w:t>pkt 4 ustawy z dnia 24 kwietnia 2003 r. o działalności pożytku publicznego i</w:t>
      </w:r>
      <w:r>
        <w:rPr>
          <w:sz w:val="20"/>
          <w:szCs w:val="20"/>
        </w:rPr>
        <w:t> </w:t>
      </w:r>
      <w:r w:rsidR="00B24F25" w:rsidRPr="00B24F25">
        <w:rPr>
          <w:sz w:val="20"/>
          <w:szCs w:val="20"/>
        </w:rPr>
        <w:t>o</w:t>
      </w:r>
      <w:r>
        <w:rPr>
          <w:sz w:val="20"/>
          <w:szCs w:val="20"/>
        </w:rPr>
        <w:t> </w:t>
      </w:r>
      <w:r w:rsidR="00B24F25" w:rsidRPr="00B24F25">
        <w:rPr>
          <w:sz w:val="20"/>
          <w:szCs w:val="20"/>
        </w:rPr>
        <w:t>wolontariacie (</w:t>
      </w:r>
      <w:proofErr w:type="spellStart"/>
      <w:r w:rsidR="00B24F25" w:rsidRPr="00B24F25">
        <w:rPr>
          <w:sz w:val="20"/>
          <w:szCs w:val="20"/>
        </w:rPr>
        <w:t>t.j</w:t>
      </w:r>
      <w:proofErr w:type="spellEnd"/>
      <w:r w:rsidR="00B24F25" w:rsidRPr="00B24F25">
        <w:rPr>
          <w:sz w:val="20"/>
          <w:szCs w:val="20"/>
        </w:rPr>
        <w:t xml:space="preserve">. Dz.U. z 2025 r. poz. 1338 z </w:t>
      </w:r>
      <w:proofErr w:type="spellStart"/>
      <w:r w:rsidR="00B24F25" w:rsidRPr="00B24F25">
        <w:rPr>
          <w:sz w:val="20"/>
          <w:szCs w:val="20"/>
        </w:rPr>
        <w:t>późn</w:t>
      </w:r>
      <w:proofErr w:type="spellEnd"/>
      <w:r w:rsidR="00B24F25" w:rsidRPr="00B24F25">
        <w:rPr>
          <w:sz w:val="20"/>
          <w:szCs w:val="20"/>
        </w:rPr>
        <w:t>. zm.) oraz §15 załącznika nr 1 do</w:t>
      </w:r>
      <w:r>
        <w:rPr>
          <w:sz w:val="20"/>
          <w:szCs w:val="20"/>
        </w:rPr>
        <w:t> </w:t>
      </w:r>
      <w:r w:rsidR="00B24F25" w:rsidRPr="00B24F25">
        <w:rPr>
          <w:sz w:val="20"/>
          <w:szCs w:val="20"/>
        </w:rPr>
        <w:t>uchwały nr II/24/2018 Rady Miasta Gliwice z dnia 13 grudnia 2018 r. w sprawie Statutu Miasta Gliwice</w:t>
      </w:r>
      <w:r w:rsidR="00610BA0">
        <w:rPr>
          <w:sz w:val="20"/>
          <w:szCs w:val="20"/>
        </w:rPr>
        <w:t>.</w:t>
      </w:r>
    </w:p>
    <w:p w14:paraId="0B62DA14" w14:textId="2EEF5A9E" w:rsidR="001F6391" w:rsidRPr="00610BA0" w:rsidRDefault="001F6391" w:rsidP="00610BA0">
      <w:pPr>
        <w:pStyle w:val="Akapitzlist"/>
        <w:numPr>
          <w:ilvl w:val="0"/>
          <w:numId w:val="19"/>
        </w:numPr>
        <w:autoSpaceDE w:val="0"/>
        <w:autoSpaceDN w:val="0"/>
        <w:adjustRightInd w:val="0"/>
        <w:spacing w:before="120" w:after="120" w:line="240" w:lineRule="auto"/>
        <w:ind w:left="284" w:hanging="284"/>
        <w:rPr>
          <w:rFonts w:ascii="Verdana" w:hAnsi="Verdana" w:cs="Verdana"/>
          <w:sz w:val="20"/>
          <w:szCs w:val="20"/>
        </w:rPr>
      </w:pPr>
      <w:r w:rsidRPr="00610BA0">
        <w:rPr>
          <w:rFonts w:ascii="Verdana" w:hAnsi="Verdana" w:cs="Verdana"/>
          <w:sz w:val="20"/>
          <w:szCs w:val="20"/>
        </w:rPr>
        <w:t>Przedmiot konsultacji oraz szczegóły dotyczące ich przeprowadzenia określone zostały</w:t>
      </w:r>
      <w:r w:rsidR="00A16077" w:rsidRPr="00610BA0">
        <w:rPr>
          <w:rFonts w:ascii="Verdana" w:hAnsi="Verdana" w:cs="Verdana"/>
          <w:sz w:val="20"/>
          <w:szCs w:val="20"/>
        </w:rPr>
        <w:t xml:space="preserve"> </w:t>
      </w:r>
      <w:r w:rsidRPr="00610BA0">
        <w:rPr>
          <w:rFonts w:ascii="Verdana" w:hAnsi="Verdana" w:cs="Verdana"/>
          <w:sz w:val="20"/>
          <w:szCs w:val="20"/>
        </w:rPr>
        <w:t xml:space="preserve">w zarządzeniu nr </w:t>
      </w:r>
      <w:r w:rsidR="009E4881" w:rsidRPr="00610BA0">
        <w:rPr>
          <w:rFonts w:ascii="Verdana" w:hAnsi="Verdana" w:cs="Verdana"/>
          <w:sz w:val="20"/>
          <w:szCs w:val="20"/>
        </w:rPr>
        <w:t>PM-3009/26</w:t>
      </w:r>
      <w:r w:rsidR="00A16077" w:rsidRPr="00610BA0">
        <w:rPr>
          <w:rFonts w:ascii="Verdana" w:hAnsi="Verdana" w:cs="Verdana"/>
          <w:sz w:val="20"/>
          <w:szCs w:val="20"/>
        </w:rPr>
        <w:t xml:space="preserve"> Prezydenta Miasta Gliwice z dnia </w:t>
      </w:r>
      <w:r w:rsidR="009E4881" w:rsidRPr="00610BA0">
        <w:rPr>
          <w:rFonts w:ascii="Verdana" w:hAnsi="Verdana" w:cs="Verdana"/>
          <w:sz w:val="20"/>
          <w:szCs w:val="20"/>
        </w:rPr>
        <w:t>19 lutego 2026 r.</w:t>
      </w:r>
    </w:p>
    <w:p w14:paraId="6A54F2C0" w14:textId="3382DBDD" w:rsidR="00A16077" w:rsidRDefault="00610BA0" w:rsidP="00610BA0">
      <w:pPr>
        <w:pStyle w:val="Default"/>
        <w:numPr>
          <w:ilvl w:val="0"/>
          <w:numId w:val="19"/>
        </w:numPr>
        <w:spacing w:before="120" w:after="120"/>
        <w:ind w:left="284" w:hanging="284"/>
        <w:jc w:val="both"/>
        <w:rPr>
          <w:sz w:val="20"/>
          <w:szCs w:val="20"/>
        </w:rPr>
      </w:pPr>
      <w:r w:rsidRPr="009E4881">
        <w:rPr>
          <w:sz w:val="20"/>
          <w:szCs w:val="20"/>
        </w:rPr>
        <w:t>Konsultacje przeprowadzono z Miejską Radą Działalności Pożytku Publicznego w</w:t>
      </w:r>
      <w:r>
        <w:rPr>
          <w:sz w:val="20"/>
          <w:szCs w:val="20"/>
        </w:rPr>
        <w:t> </w:t>
      </w:r>
      <w:r w:rsidRPr="009E4881">
        <w:rPr>
          <w:sz w:val="20"/>
          <w:szCs w:val="20"/>
        </w:rPr>
        <w:t>Gliwicach (MRDPP), organizacjami pozarządowymi oraz mieszkańcami.</w:t>
      </w:r>
      <w:r>
        <w:rPr>
          <w:sz w:val="20"/>
          <w:szCs w:val="20"/>
        </w:rPr>
        <w:t xml:space="preserve"> Uwagi do projektu uchwały można było składać</w:t>
      </w:r>
      <w:r w:rsidR="009E4881" w:rsidRPr="009E4881">
        <w:rPr>
          <w:sz w:val="20"/>
          <w:szCs w:val="20"/>
        </w:rPr>
        <w:t xml:space="preserve"> </w:t>
      </w:r>
      <w:r w:rsidR="009E4881">
        <w:rPr>
          <w:sz w:val="20"/>
          <w:szCs w:val="20"/>
        </w:rPr>
        <w:t xml:space="preserve">od 5 do 19 marca 2026 r. </w:t>
      </w:r>
      <w:r w:rsidR="009E4881" w:rsidRPr="009E4881">
        <w:rPr>
          <w:sz w:val="20"/>
          <w:szCs w:val="20"/>
        </w:rPr>
        <w:t xml:space="preserve">za pośrednictwem Gliwickiej Platformy Partycypacyjnej </w:t>
      </w:r>
      <w:proofErr w:type="spellStart"/>
      <w:r w:rsidR="009E4881" w:rsidRPr="009E4881">
        <w:rPr>
          <w:sz w:val="20"/>
          <w:szCs w:val="20"/>
        </w:rPr>
        <w:t>decydujMYrazem</w:t>
      </w:r>
      <w:proofErr w:type="spellEnd"/>
      <w:r w:rsidR="009E4881" w:rsidRPr="009E4881">
        <w:rPr>
          <w:sz w:val="20"/>
          <w:szCs w:val="20"/>
        </w:rPr>
        <w:t xml:space="preserve"> oraz drogą elektroniczną na adres zd@um.gliwice.pl.</w:t>
      </w:r>
    </w:p>
    <w:p w14:paraId="4A5D4FB9" w14:textId="76FF2CFA" w:rsidR="009E4881" w:rsidRDefault="009E4881" w:rsidP="00610BA0">
      <w:pPr>
        <w:pStyle w:val="Default"/>
        <w:numPr>
          <w:ilvl w:val="0"/>
          <w:numId w:val="19"/>
        </w:numPr>
        <w:spacing w:before="120" w:after="120"/>
        <w:ind w:left="284" w:hanging="284"/>
        <w:jc w:val="both"/>
        <w:rPr>
          <w:sz w:val="20"/>
          <w:szCs w:val="20"/>
        </w:rPr>
      </w:pPr>
      <w:r>
        <w:rPr>
          <w:sz w:val="20"/>
          <w:szCs w:val="20"/>
        </w:rPr>
        <w:t>M</w:t>
      </w:r>
      <w:r w:rsidR="00610BA0">
        <w:rPr>
          <w:sz w:val="20"/>
          <w:szCs w:val="20"/>
        </w:rPr>
        <w:t>iejska Rada Działalności Pożytku Publicznego w Gliwicach</w:t>
      </w:r>
      <w:r>
        <w:rPr>
          <w:sz w:val="20"/>
          <w:szCs w:val="20"/>
        </w:rPr>
        <w:t xml:space="preserve"> korespondencją z dnia 5</w:t>
      </w:r>
      <w:r w:rsidR="0025189A">
        <w:rPr>
          <w:sz w:val="20"/>
          <w:szCs w:val="20"/>
        </w:rPr>
        <w:t> </w:t>
      </w:r>
      <w:r>
        <w:rPr>
          <w:sz w:val="20"/>
          <w:szCs w:val="20"/>
        </w:rPr>
        <w:t xml:space="preserve">marca </w:t>
      </w:r>
      <w:r w:rsidR="00610BA0">
        <w:rPr>
          <w:sz w:val="20"/>
          <w:szCs w:val="20"/>
        </w:rPr>
        <w:t>2026 r. przekazała, iż nie wnosi uwag do projektu.</w:t>
      </w:r>
    </w:p>
    <w:p w14:paraId="5F3B4C6F" w14:textId="206F1649" w:rsidR="00610BA0" w:rsidRPr="007C4967" w:rsidRDefault="009D6A72" w:rsidP="008306A7">
      <w:pPr>
        <w:pStyle w:val="Default"/>
        <w:numPr>
          <w:ilvl w:val="0"/>
          <w:numId w:val="19"/>
        </w:numPr>
        <w:spacing w:before="120" w:after="360"/>
        <w:ind w:left="284" w:hanging="284"/>
        <w:jc w:val="both"/>
        <w:rPr>
          <w:sz w:val="20"/>
          <w:szCs w:val="20"/>
        </w:rPr>
      </w:pPr>
      <w:r>
        <w:rPr>
          <w:sz w:val="20"/>
          <w:szCs w:val="20"/>
        </w:rPr>
        <w:t xml:space="preserve">Na adres mailowy </w:t>
      </w:r>
      <w:r w:rsidRPr="009D6A72">
        <w:rPr>
          <w:sz w:val="20"/>
          <w:szCs w:val="20"/>
        </w:rPr>
        <w:t>zd@um.gliwice.pl</w:t>
      </w:r>
      <w:r>
        <w:rPr>
          <w:sz w:val="20"/>
          <w:szCs w:val="20"/>
        </w:rPr>
        <w:t xml:space="preserve"> nie wpłynęła żadna uwaga, natomiast z</w:t>
      </w:r>
      <w:r w:rsidR="00610BA0">
        <w:rPr>
          <w:sz w:val="20"/>
          <w:szCs w:val="20"/>
        </w:rPr>
        <w:t xml:space="preserve">a pośrednictwem </w:t>
      </w:r>
      <w:r w:rsidR="00610BA0" w:rsidRPr="009E4881">
        <w:rPr>
          <w:sz w:val="20"/>
          <w:szCs w:val="20"/>
        </w:rPr>
        <w:t xml:space="preserve">Gliwickiej Platformy Partycypacyjnej </w:t>
      </w:r>
      <w:proofErr w:type="spellStart"/>
      <w:r w:rsidR="00610BA0" w:rsidRPr="009E4881">
        <w:rPr>
          <w:sz w:val="20"/>
          <w:szCs w:val="20"/>
        </w:rPr>
        <w:t>decydujMYrazem</w:t>
      </w:r>
      <w:proofErr w:type="spellEnd"/>
      <w:r w:rsidR="00610BA0">
        <w:rPr>
          <w:sz w:val="20"/>
          <w:szCs w:val="20"/>
        </w:rPr>
        <w:t xml:space="preserve"> </w:t>
      </w:r>
      <w:r w:rsidR="002C17F8">
        <w:rPr>
          <w:color w:val="auto"/>
          <w:sz w:val="20"/>
          <w:szCs w:val="20"/>
        </w:rPr>
        <w:t>wpłynęły 4 uwagi od jednej osoby. Ich rozpatrzenie zawiera poniższa tabela.</w:t>
      </w:r>
    </w:p>
    <w:tbl>
      <w:tblPr>
        <w:tblStyle w:val="Tabela-Siatka"/>
        <w:tblW w:w="10065" w:type="dxa"/>
        <w:tblInd w:w="-572" w:type="dxa"/>
        <w:tblLayout w:type="fixed"/>
        <w:tblLook w:val="04A0" w:firstRow="1" w:lastRow="0" w:firstColumn="1" w:lastColumn="0" w:noHBand="0" w:noVBand="1"/>
      </w:tblPr>
      <w:tblGrid>
        <w:gridCol w:w="2268"/>
        <w:gridCol w:w="2764"/>
        <w:gridCol w:w="2516"/>
        <w:gridCol w:w="2517"/>
      </w:tblGrid>
      <w:tr w:rsidR="009D6A72" w:rsidRPr="002C7051" w14:paraId="7395218E" w14:textId="77777777" w:rsidTr="005230EB">
        <w:tc>
          <w:tcPr>
            <w:tcW w:w="2268" w:type="dxa"/>
          </w:tcPr>
          <w:p w14:paraId="6F9D5F4E" w14:textId="1F0B9D4F" w:rsidR="009D6A72" w:rsidRPr="002C7051" w:rsidRDefault="009D6A72" w:rsidP="0025189A">
            <w:pPr>
              <w:pStyle w:val="Default"/>
              <w:spacing w:before="120" w:after="120"/>
              <w:jc w:val="center"/>
              <w:rPr>
                <w:b/>
                <w:sz w:val="18"/>
                <w:szCs w:val="20"/>
              </w:rPr>
            </w:pPr>
            <w:r w:rsidRPr="002C7051">
              <w:rPr>
                <w:b/>
                <w:sz w:val="18"/>
                <w:szCs w:val="20"/>
              </w:rPr>
              <w:t>Cz</w:t>
            </w:r>
            <w:r w:rsidR="00574E9A">
              <w:rPr>
                <w:b/>
                <w:sz w:val="18"/>
                <w:szCs w:val="20"/>
              </w:rPr>
              <w:t>ę</w:t>
            </w:r>
            <w:r w:rsidRPr="002C7051">
              <w:rPr>
                <w:b/>
                <w:sz w:val="18"/>
                <w:szCs w:val="20"/>
              </w:rPr>
              <w:t xml:space="preserve">ść tekstu, której </w:t>
            </w:r>
            <w:r w:rsidR="007C4967" w:rsidRPr="002C7051">
              <w:rPr>
                <w:b/>
                <w:sz w:val="18"/>
                <w:szCs w:val="20"/>
              </w:rPr>
              <w:t>dotyczy</w:t>
            </w:r>
            <w:r w:rsidRPr="002C7051">
              <w:rPr>
                <w:b/>
                <w:sz w:val="18"/>
                <w:szCs w:val="20"/>
              </w:rPr>
              <w:t xml:space="preserve"> uwaga</w:t>
            </w:r>
          </w:p>
        </w:tc>
        <w:tc>
          <w:tcPr>
            <w:tcW w:w="2764" w:type="dxa"/>
          </w:tcPr>
          <w:p w14:paraId="56B57378" w14:textId="37CCC782" w:rsidR="009D6A72" w:rsidRPr="002C7051" w:rsidRDefault="009D6A72" w:rsidP="0025189A">
            <w:pPr>
              <w:pStyle w:val="Default"/>
              <w:spacing w:before="120" w:after="120"/>
              <w:jc w:val="center"/>
              <w:rPr>
                <w:b/>
                <w:sz w:val="18"/>
                <w:szCs w:val="20"/>
              </w:rPr>
            </w:pPr>
            <w:r w:rsidRPr="002C7051">
              <w:rPr>
                <w:b/>
                <w:sz w:val="18"/>
                <w:szCs w:val="20"/>
              </w:rPr>
              <w:t>Treść uwagi</w:t>
            </w:r>
          </w:p>
        </w:tc>
        <w:tc>
          <w:tcPr>
            <w:tcW w:w="2516" w:type="dxa"/>
          </w:tcPr>
          <w:p w14:paraId="035E381D" w14:textId="2FA7E2D3" w:rsidR="009D6A72" w:rsidRPr="002C7051" w:rsidRDefault="009D6A72" w:rsidP="0025189A">
            <w:pPr>
              <w:pStyle w:val="Default"/>
              <w:spacing w:before="120" w:after="120"/>
              <w:jc w:val="center"/>
              <w:rPr>
                <w:b/>
                <w:sz w:val="18"/>
                <w:szCs w:val="20"/>
              </w:rPr>
            </w:pPr>
            <w:r w:rsidRPr="002C7051">
              <w:rPr>
                <w:b/>
                <w:sz w:val="18"/>
                <w:szCs w:val="20"/>
              </w:rPr>
              <w:t>Uzasadnienie</w:t>
            </w:r>
          </w:p>
        </w:tc>
        <w:tc>
          <w:tcPr>
            <w:tcW w:w="2517" w:type="dxa"/>
          </w:tcPr>
          <w:p w14:paraId="509B5EEA" w14:textId="3C3AF943" w:rsidR="009D6A72" w:rsidRPr="002C7051" w:rsidRDefault="007C4967" w:rsidP="0025189A">
            <w:pPr>
              <w:pStyle w:val="Default"/>
              <w:spacing w:before="120" w:after="120"/>
              <w:jc w:val="center"/>
              <w:rPr>
                <w:b/>
                <w:sz w:val="18"/>
                <w:szCs w:val="20"/>
              </w:rPr>
            </w:pPr>
            <w:r w:rsidRPr="002C7051">
              <w:rPr>
                <w:b/>
                <w:sz w:val="18"/>
                <w:szCs w:val="20"/>
              </w:rPr>
              <w:t>Odniesienie się do uwagi</w:t>
            </w:r>
          </w:p>
        </w:tc>
      </w:tr>
      <w:tr w:rsidR="009D6A72" w:rsidRPr="002C7051" w14:paraId="0AD0640A" w14:textId="77777777" w:rsidTr="005230EB">
        <w:tc>
          <w:tcPr>
            <w:tcW w:w="2268" w:type="dxa"/>
          </w:tcPr>
          <w:p w14:paraId="3B3529AA" w14:textId="7C18247B" w:rsidR="009D6A72" w:rsidRPr="002C7051" w:rsidRDefault="000F75D1" w:rsidP="005230EB">
            <w:pPr>
              <w:pStyle w:val="Default"/>
              <w:spacing w:before="120" w:after="120"/>
              <w:rPr>
                <w:sz w:val="18"/>
                <w:szCs w:val="20"/>
              </w:rPr>
            </w:pPr>
            <w:r w:rsidRPr="002C7051">
              <w:rPr>
                <w:sz w:val="18"/>
                <w:szCs w:val="20"/>
              </w:rPr>
              <w:t>Diagnoza sytuacji społecznej Gliwic w</w:t>
            </w:r>
            <w:r w:rsidR="00C4792A">
              <w:rPr>
                <w:sz w:val="18"/>
                <w:szCs w:val="20"/>
              </w:rPr>
              <w:t> </w:t>
            </w:r>
            <w:r w:rsidRPr="002C7051">
              <w:rPr>
                <w:sz w:val="18"/>
                <w:szCs w:val="20"/>
              </w:rPr>
              <w:t>latach 2016–2023. Obszar 2: Niepełnosprawność</w:t>
            </w:r>
          </w:p>
        </w:tc>
        <w:tc>
          <w:tcPr>
            <w:tcW w:w="2764" w:type="dxa"/>
          </w:tcPr>
          <w:p w14:paraId="63AE5911" w14:textId="7908044C" w:rsidR="009D6A72" w:rsidRPr="002C7051" w:rsidRDefault="000F75D1" w:rsidP="005230EB">
            <w:pPr>
              <w:pStyle w:val="Default"/>
              <w:spacing w:before="120" w:after="120"/>
              <w:rPr>
                <w:sz w:val="18"/>
                <w:szCs w:val="20"/>
              </w:rPr>
            </w:pPr>
            <w:r w:rsidRPr="002C7051">
              <w:rPr>
                <w:sz w:val="18"/>
                <w:szCs w:val="20"/>
              </w:rPr>
              <w:t>"Konieczność systemowego rozwijania oferty w zakresie edukacji, aktywizacji zawodowej oraz spójnej i</w:t>
            </w:r>
            <w:r w:rsidR="00545D8F" w:rsidRPr="002C7051">
              <w:rPr>
                <w:sz w:val="18"/>
                <w:szCs w:val="20"/>
              </w:rPr>
              <w:t> </w:t>
            </w:r>
            <w:r w:rsidRPr="002C7051">
              <w:rPr>
                <w:sz w:val="18"/>
                <w:szCs w:val="20"/>
              </w:rPr>
              <w:t>skoordynowanej informacji skierowanej do osób z</w:t>
            </w:r>
            <w:r w:rsidR="00545D8F" w:rsidRPr="002C7051">
              <w:rPr>
                <w:sz w:val="18"/>
                <w:szCs w:val="20"/>
              </w:rPr>
              <w:t> </w:t>
            </w:r>
            <w:r w:rsidRPr="002C7051">
              <w:rPr>
                <w:sz w:val="18"/>
                <w:szCs w:val="20"/>
              </w:rPr>
              <w:t>niepełnosprawnościami, tak aby wsparcie było dostępne, ciągłe i</w:t>
            </w:r>
            <w:r w:rsidR="00545D8F" w:rsidRPr="002C7051">
              <w:rPr>
                <w:sz w:val="18"/>
                <w:szCs w:val="20"/>
              </w:rPr>
              <w:t> </w:t>
            </w:r>
            <w:r w:rsidRPr="002C7051">
              <w:rPr>
                <w:sz w:val="18"/>
                <w:szCs w:val="20"/>
              </w:rPr>
              <w:t>adekwatne do ich zmieniających się potrzeb na każdym etapie życia" - to jest działanie, nie problem.</w:t>
            </w:r>
          </w:p>
        </w:tc>
        <w:tc>
          <w:tcPr>
            <w:tcW w:w="2516" w:type="dxa"/>
          </w:tcPr>
          <w:p w14:paraId="018C39F3" w14:textId="201F4A88" w:rsidR="009D6A72" w:rsidRPr="002C7051" w:rsidRDefault="005230EB" w:rsidP="005230EB">
            <w:pPr>
              <w:pStyle w:val="Default"/>
              <w:spacing w:before="120" w:after="120"/>
              <w:rPr>
                <w:sz w:val="18"/>
                <w:szCs w:val="20"/>
              </w:rPr>
            </w:pPr>
            <w:r w:rsidRPr="002C7051">
              <w:rPr>
                <w:sz w:val="18"/>
                <w:szCs w:val="20"/>
              </w:rPr>
              <w:t>Problemy opisane są w podpunktach.</w:t>
            </w:r>
          </w:p>
        </w:tc>
        <w:tc>
          <w:tcPr>
            <w:tcW w:w="2517" w:type="dxa"/>
          </w:tcPr>
          <w:p w14:paraId="15096A7D" w14:textId="48025180" w:rsidR="009D6A72" w:rsidRPr="002C7051" w:rsidRDefault="005230EB" w:rsidP="005230EB">
            <w:pPr>
              <w:pStyle w:val="Default"/>
              <w:spacing w:before="120" w:after="120"/>
              <w:rPr>
                <w:sz w:val="18"/>
                <w:szCs w:val="20"/>
              </w:rPr>
            </w:pPr>
            <w:r w:rsidRPr="002C7051">
              <w:rPr>
                <w:sz w:val="18"/>
                <w:szCs w:val="20"/>
              </w:rPr>
              <w:t>Zacytowany fragment jest wnioskiem diagnostycznym, wynikającym z</w:t>
            </w:r>
            <w:r w:rsidR="00545D8F" w:rsidRPr="002C7051">
              <w:rPr>
                <w:sz w:val="18"/>
                <w:szCs w:val="20"/>
              </w:rPr>
              <w:t> </w:t>
            </w:r>
            <w:r w:rsidRPr="002C7051">
              <w:rPr>
                <w:sz w:val="18"/>
                <w:szCs w:val="20"/>
              </w:rPr>
              <w:t>rozmów z</w:t>
            </w:r>
            <w:r w:rsidR="00545D8F" w:rsidRPr="002C7051">
              <w:rPr>
                <w:sz w:val="18"/>
                <w:szCs w:val="20"/>
              </w:rPr>
              <w:t> </w:t>
            </w:r>
            <w:r w:rsidRPr="002C7051">
              <w:rPr>
                <w:sz w:val="18"/>
                <w:szCs w:val="20"/>
              </w:rPr>
              <w:t>praktykami i</w:t>
            </w:r>
            <w:r w:rsidR="00545D8F" w:rsidRPr="002C7051">
              <w:rPr>
                <w:sz w:val="18"/>
                <w:szCs w:val="20"/>
              </w:rPr>
              <w:t> </w:t>
            </w:r>
            <w:r w:rsidRPr="002C7051">
              <w:rPr>
                <w:sz w:val="18"/>
                <w:szCs w:val="20"/>
              </w:rPr>
              <w:t xml:space="preserve">ekspertami. </w:t>
            </w:r>
            <w:r w:rsidR="00545D8F" w:rsidRPr="002C7051">
              <w:rPr>
                <w:sz w:val="18"/>
                <w:szCs w:val="20"/>
              </w:rPr>
              <w:t>Podpunkty stanowią jego uszczegółowienie.</w:t>
            </w:r>
          </w:p>
          <w:p w14:paraId="7B97D4EC" w14:textId="6A2A82A0" w:rsidR="00545D8F" w:rsidRPr="002C7051" w:rsidRDefault="00545D8F" w:rsidP="005230EB">
            <w:pPr>
              <w:pStyle w:val="Default"/>
              <w:spacing w:before="120" w:after="120"/>
              <w:rPr>
                <w:sz w:val="18"/>
                <w:szCs w:val="20"/>
              </w:rPr>
            </w:pPr>
            <w:r w:rsidRPr="002C7051">
              <w:rPr>
                <w:sz w:val="18"/>
                <w:szCs w:val="20"/>
              </w:rPr>
              <w:t>Uwag</w:t>
            </w:r>
            <w:r w:rsidR="0025189A" w:rsidRPr="002C7051">
              <w:rPr>
                <w:sz w:val="18"/>
                <w:szCs w:val="20"/>
              </w:rPr>
              <w:t>i nie uwzględniono.</w:t>
            </w:r>
          </w:p>
        </w:tc>
      </w:tr>
      <w:tr w:rsidR="005230EB" w:rsidRPr="002C7051" w14:paraId="3AA7F179" w14:textId="77777777" w:rsidTr="005230EB">
        <w:tc>
          <w:tcPr>
            <w:tcW w:w="2268" w:type="dxa"/>
          </w:tcPr>
          <w:p w14:paraId="779A8DD9" w14:textId="3C8D3AC3" w:rsidR="005230EB" w:rsidRPr="002C7051" w:rsidRDefault="005230EB" w:rsidP="005230EB">
            <w:pPr>
              <w:pStyle w:val="Default"/>
              <w:spacing w:before="120" w:after="120"/>
              <w:rPr>
                <w:sz w:val="18"/>
                <w:szCs w:val="20"/>
              </w:rPr>
            </w:pPr>
            <w:r w:rsidRPr="002C7051">
              <w:rPr>
                <w:sz w:val="18"/>
                <w:szCs w:val="20"/>
              </w:rPr>
              <w:t>Diagnoza sytuacji społecznej Gliwic w</w:t>
            </w:r>
            <w:r w:rsidR="00C4792A">
              <w:rPr>
                <w:sz w:val="18"/>
                <w:szCs w:val="20"/>
              </w:rPr>
              <w:t> </w:t>
            </w:r>
            <w:r w:rsidRPr="002C7051">
              <w:rPr>
                <w:sz w:val="18"/>
                <w:szCs w:val="20"/>
              </w:rPr>
              <w:t>latach 2016–2023. Obszar 2: Niepełnosprawność</w:t>
            </w:r>
          </w:p>
        </w:tc>
        <w:tc>
          <w:tcPr>
            <w:tcW w:w="2764" w:type="dxa"/>
          </w:tcPr>
          <w:p w14:paraId="1F254ECE" w14:textId="659E1484" w:rsidR="005230EB" w:rsidRPr="002C7051" w:rsidRDefault="005230EB" w:rsidP="005230EB">
            <w:pPr>
              <w:pStyle w:val="Default"/>
              <w:spacing w:before="120" w:after="120"/>
              <w:rPr>
                <w:sz w:val="18"/>
                <w:szCs w:val="20"/>
              </w:rPr>
            </w:pPr>
            <w:r w:rsidRPr="002C7051">
              <w:rPr>
                <w:sz w:val="18"/>
                <w:szCs w:val="20"/>
              </w:rPr>
              <w:t>W tym samym obszarze mowa jest o transporcie publicznym jako dobrze ocenionej, ale mowa jest tylko o autobusach i</w:t>
            </w:r>
            <w:r w:rsidR="00545D8F" w:rsidRPr="002C7051">
              <w:rPr>
                <w:sz w:val="18"/>
                <w:szCs w:val="20"/>
              </w:rPr>
              <w:t> </w:t>
            </w:r>
            <w:r w:rsidRPr="002C7051">
              <w:rPr>
                <w:sz w:val="18"/>
                <w:szCs w:val="20"/>
              </w:rPr>
              <w:t>przystankach. Transport publiczny to nie tylko infrastruktura to przede wszystkim oferta przewozowa, czy ona też była badana w</w:t>
            </w:r>
            <w:r w:rsidR="00545D8F" w:rsidRPr="002C7051">
              <w:rPr>
                <w:sz w:val="18"/>
                <w:szCs w:val="20"/>
              </w:rPr>
              <w:t> </w:t>
            </w:r>
            <w:r w:rsidRPr="002C7051">
              <w:rPr>
                <w:sz w:val="18"/>
                <w:szCs w:val="20"/>
              </w:rPr>
              <w:t>kontekście dostępności dla osób z</w:t>
            </w:r>
            <w:r w:rsidR="0025189A" w:rsidRPr="002C7051">
              <w:rPr>
                <w:sz w:val="18"/>
                <w:szCs w:val="20"/>
              </w:rPr>
              <w:t> </w:t>
            </w:r>
            <w:r w:rsidRPr="002C7051">
              <w:rPr>
                <w:sz w:val="18"/>
                <w:szCs w:val="20"/>
              </w:rPr>
              <w:t>niepełnosprawnościami?</w:t>
            </w:r>
          </w:p>
        </w:tc>
        <w:tc>
          <w:tcPr>
            <w:tcW w:w="2516" w:type="dxa"/>
          </w:tcPr>
          <w:p w14:paraId="7F40C333" w14:textId="6BE9FF3F" w:rsidR="005230EB" w:rsidRPr="002C7051" w:rsidRDefault="005230EB" w:rsidP="005230EB">
            <w:pPr>
              <w:pStyle w:val="Default"/>
              <w:spacing w:before="120" w:after="120"/>
              <w:rPr>
                <w:sz w:val="18"/>
                <w:szCs w:val="20"/>
              </w:rPr>
            </w:pPr>
            <w:r w:rsidRPr="002C7051">
              <w:rPr>
                <w:sz w:val="18"/>
                <w:szCs w:val="20"/>
              </w:rPr>
              <w:t>Jeśli oferta przewozowa nie była przedmiotem diagnozy / badania to proponuje nie wskazywać, że transport publiczny jest dobrze oceniany, a wskazać tylko infrastrukturę w</w:t>
            </w:r>
            <w:r w:rsidR="0025189A" w:rsidRPr="002C7051">
              <w:rPr>
                <w:sz w:val="18"/>
                <w:szCs w:val="20"/>
              </w:rPr>
              <w:t> </w:t>
            </w:r>
            <w:r w:rsidRPr="002C7051">
              <w:rPr>
                <w:sz w:val="18"/>
                <w:szCs w:val="20"/>
              </w:rPr>
              <w:t>postaci przystanków i</w:t>
            </w:r>
            <w:r w:rsidR="0025189A" w:rsidRPr="002C7051">
              <w:rPr>
                <w:sz w:val="18"/>
                <w:szCs w:val="20"/>
              </w:rPr>
              <w:t> </w:t>
            </w:r>
            <w:r w:rsidRPr="002C7051">
              <w:rPr>
                <w:sz w:val="18"/>
                <w:szCs w:val="20"/>
              </w:rPr>
              <w:t xml:space="preserve">autobusów, które są dostosowane do potrzeb osób z niepełnosprawnościami. Ponadto w kontekście </w:t>
            </w:r>
            <w:r w:rsidRPr="002C7051">
              <w:rPr>
                <w:sz w:val="18"/>
                <w:szCs w:val="20"/>
              </w:rPr>
              <w:lastRenderedPageBreak/>
              <w:t>strategii celów ujętych w</w:t>
            </w:r>
            <w:r w:rsidR="0025189A" w:rsidRPr="002C7051">
              <w:rPr>
                <w:sz w:val="18"/>
                <w:szCs w:val="20"/>
              </w:rPr>
              <w:t> </w:t>
            </w:r>
            <w:r w:rsidRPr="002C7051">
              <w:rPr>
                <w:sz w:val="18"/>
                <w:szCs w:val="20"/>
              </w:rPr>
              <w:t>strategii (szczególnie Kierunek B1: Zwiększenie atrakcyjności miasta dla młodych i rodzin) to takie badanie oferty przewozowej jest konieczne nie tylko w</w:t>
            </w:r>
            <w:r w:rsidR="0025189A" w:rsidRPr="002C7051">
              <w:rPr>
                <w:sz w:val="18"/>
                <w:szCs w:val="20"/>
              </w:rPr>
              <w:t> </w:t>
            </w:r>
            <w:r w:rsidRPr="002C7051">
              <w:rPr>
                <w:sz w:val="18"/>
                <w:szCs w:val="20"/>
              </w:rPr>
              <w:t>kontekście dostosowania do osób z</w:t>
            </w:r>
            <w:r w:rsidR="0025189A" w:rsidRPr="002C7051">
              <w:rPr>
                <w:sz w:val="18"/>
                <w:szCs w:val="20"/>
              </w:rPr>
              <w:t xml:space="preserve"> </w:t>
            </w:r>
            <w:r w:rsidRPr="002C7051">
              <w:rPr>
                <w:sz w:val="18"/>
                <w:szCs w:val="20"/>
              </w:rPr>
              <w:t>niepełnosprawnościami.</w:t>
            </w:r>
          </w:p>
        </w:tc>
        <w:tc>
          <w:tcPr>
            <w:tcW w:w="2517" w:type="dxa"/>
          </w:tcPr>
          <w:p w14:paraId="3ABCE4CC" w14:textId="5685731A" w:rsidR="007C4967" w:rsidRPr="002C7051" w:rsidRDefault="00545D8F" w:rsidP="007C4967">
            <w:pPr>
              <w:pStyle w:val="Default"/>
              <w:spacing w:before="120" w:after="120"/>
              <w:rPr>
                <w:sz w:val="18"/>
                <w:szCs w:val="20"/>
              </w:rPr>
            </w:pPr>
            <w:r w:rsidRPr="002C7051">
              <w:rPr>
                <w:sz w:val="18"/>
                <w:szCs w:val="20"/>
              </w:rPr>
              <w:lastRenderedPageBreak/>
              <w:t>W tym obszarze mowa jest o dostępności w kontekście barier architektonicznych, komunikacyjnych czy cyfrowych. Natomiast w</w:t>
            </w:r>
            <w:r w:rsidR="0025189A" w:rsidRPr="002C7051">
              <w:rPr>
                <w:sz w:val="18"/>
                <w:szCs w:val="20"/>
              </w:rPr>
              <w:t> </w:t>
            </w:r>
            <w:r w:rsidRPr="002C7051">
              <w:rPr>
                <w:sz w:val="18"/>
                <w:szCs w:val="20"/>
              </w:rPr>
              <w:t>badaniu sondażowym pytano również o ocenę komunikacji publicznej w</w:t>
            </w:r>
            <w:r w:rsidR="0025189A" w:rsidRPr="002C7051">
              <w:rPr>
                <w:sz w:val="18"/>
                <w:szCs w:val="20"/>
              </w:rPr>
              <w:t> </w:t>
            </w:r>
            <w:r w:rsidRPr="002C7051">
              <w:rPr>
                <w:sz w:val="18"/>
                <w:szCs w:val="20"/>
              </w:rPr>
              <w:t xml:space="preserve">dzielnicy zamieszkania i 75% ankietowanych oceniło ją pozytywnie. </w:t>
            </w:r>
            <w:r w:rsidR="007C4967" w:rsidRPr="002C7051">
              <w:rPr>
                <w:sz w:val="18"/>
                <w:szCs w:val="20"/>
              </w:rPr>
              <w:t xml:space="preserve">Informacja ta jest wzmiankowana </w:t>
            </w:r>
            <w:r w:rsidR="007C4967" w:rsidRPr="002C7051">
              <w:rPr>
                <w:sz w:val="18"/>
                <w:szCs w:val="20"/>
              </w:rPr>
              <w:lastRenderedPageBreak/>
              <w:t>w</w:t>
            </w:r>
            <w:r w:rsidR="0025189A" w:rsidRPr="002C7051">
              <w:rPr>
                <w:sz w:val="18"/>
                <w:szCs w:val="20"/>
              </w:rPr>
              <w:t> </w:t>
            </w:r>
            <w:r w:rsidR="007C4967" w:rsidRPr="002C7051">
              <w:rPr>
                <w:sz w:val="18"/>
                <w:szCs w:val="20"/>
              </w:rPr>
              <w:t>Obszarze 12: Społeczności lokalne oraz życie w dzielnicach</w:t>
            </w:r>
            <w:r w:rsidR="0025189A" w:rsidRPr="002C7051">
              <w:rPr>
                <w:sz w:val="18"/>
                <w:szCs w:val="20"/>
              </w:rPr>
              <w:t xml:space="preserve"> –</w:t>
            </w:r>
            <w:r w:rsidR="007C4967" w:rsidRPr="002C7051">
              <w:rPr>
                <w:sz w:val="18"/>
                <w:szCs w:val="20"/>
              </w:rPr>
              <w:t xml:space="preserve"> „Gliwiczanie wysoko oceniają codzienne zakupy, bezpieczeństwo i</w:t>
            </w:r>
            <w:r w:rsidR="0025189A" w:rsidRPr="002C7051">
              <w:rPr>
                <w:sz w:val="18"/>
                <w:szCs w:val="20"/>
              </w:rPr>
              <w:t> </w:t>
            </w:r>
            <w:r w:rsidR="007C4967" w:rsidRPr="002C7051">
              <w:rPr>
                <w:sz w:val="18"/>
                <w:szCs w:val="20"/>
              </w:rPr>
              <w:t>komunikację miejską”.</w:t>
            </w:r>
          </w:p>
          <w:p w14:paraId="5A592A43" w14:textId="6BE2D5F7" w:rsidR="005230EB" w:rsidRPr="002C7051" w:rsidRDefault="00545D8F" w:rsidP="005230EB">
            <w:pPr>
              <w:pStyle w:val="Default"/>
              <w:spacing w:before="120" w:after="120"/>
              <w:rPr>
                <w:sz w:val="18"/>
                <w:szCs w:val="20"/>
              </w:rPr>
            </w:pPr>
            <w:r w:rsidRPr="002C7051">
              <w:rPr>
                <w:sz w:val="18"/>
                <w:szCs w:val="20"/>
              </w:rPr>
              <w:t>Szczegółowe badania ofert</w:t>
            </w:r>
            <w:r w:rsidR="007C4967" w:rsidRPr="002C7051">
              <w:rPr>
                <w:sz w:val="18"/>
                <w:szCs w:val="20"/>
              </w:rPr>
              <w:t>y</w:t>
            </w:r>
            <w:r w:rsidRPr="002C7051">
              <w:rPr>
                <w:sz w:val="18"/>
                <w:szCs w:val="20"/>
              </w:rPr>
              <w:t xml:space="preserve"> przewozowej wykraczają poza zakres strategii rozwiązywania problemów społecznych.</w:t>
            </w:r>
          </w:p>
          <w:p w14:paraId="728D8804" w14:textId="35102AD6" w:rsidR="00545D8F" w:rsidRPr="002C7051" w:rsidRDefault="00545D8F" w:rsidP="005230EB">
            <w:pPr>
              <w:pStyle w:val="Default"/>
              <w:spacing w:before="120" w:after="120"/>
              <w:rPr>
                <w:sz w:val="18"/>
                <w:szCs w:val="20"/>
              </w:rPr>
            </w:pPr>
            <w:r w:rsidRPr="002C7051">
              <w:rPr>
                <w:sz w:val="18"/>
                <w:szCs w:val="20"/>
              </w:rPr>
              <w:t>Uwag</w:t>
            </w:r>
            <w:r w:rsidR="0025189A" w:rsidRPr="002C7051">
              <w:rPr>
                <w:sz w:val="18"/>
                <w:szCs w:val="20"/>
              </w:rPr>
              <w:t>i nie uwzględniono.</w:t>
            </w:r>
          </w:p>
        </w:tc>
      </w:tr>
      <w:tr w:rsidR="005230EB" w:rsidRPr="002C7051" w14:paraId="50BED95A" w14:textId="77777777" w:rsidTr="005230EB">
        <w:tc>
          <w:tcPr>
            <w:tcW w:w="2268" w:type="dxa"/>
          </w:tcPr>
          <w:p w14:paraId="57E777B6" w14:textId="7CA72A75" w:rsidR="005230EB" w:rsidRPr="002C7051" w:rsidRDefault="005230EB" w:rsidP="005230EB">
            <w:pPr>
              <w:pStyle w:val="Default"/>
              <w:spacing w:before="120" w:after="120"/>
              <w:rPr>
                <w:sz w:val="18"/>
                <w:szCs w:val="20"/>
              </w:rPr>
            </w:pPr>
            <w:r w:rsidRPr="002C7051">
              <w:rPr>
                <w:sz w:val="18"/>
                <w:szCs w:val="20"/>
              </w:rPr>
              <w:lastRenderedPageBreak/>
              <w:t>Diagnoza sytuacji społecznej Gliwic w</w:t>
            </w:r>
            <w:r w:rsidR="007C4967" w:rsidRPr="002C7051">
              <w:rPr>
                <w:sz w:val="18"/>
                <w:szCs w:val="20"/>
              </w:rPr>
              <w:t> </w:t>
            </w:r>
            <w:r w:rsidRPr="002C7051">
              <w:rPr>
                <w:sz w:val="18"/>
                <w:szCs w:val="20"/>
              </w:rPr>
              <w:t>latach 2016–2023. Obszar 13: Inne tematy dotyczące życia w Gliwicach</w:t>
            </w:r>
          </w:p>
        </w:tc>
        <w:tc>
          <w:tcPr>
            <w:tcW w:w="2764" w:type="dxa"/>
          </w:tcPr>
          <w:p w14:paraId="227BF69B" w14:textId="748672CC" w:rsidR="005230EB" w:rsidRPr="002C7051" w:rsidRDefault="005230EB" w:rsidP="005230EB">
            <w:pPr>
              <w:pStyle w:val="Default"/>
              <w:spacing w:before="120" w:after="120"/>
              <w:rPr>
                <w:sz w:val="18"/>
                <w:szCs w:val="20"/>
              </w:rPr>
            </w:pPr>
            <w:r w:rsidRPr="002C7051">
              <w:rPr>
                <w:sz w:val="18"/>
                <w:szCs w:val="20"/>
              </w:rPr>
              <w:t>W pierwszym podpunkcie używa się zwrotu "media społecznościowe" - jest to powszechnie używana nazwa, ale de</w:t>
            </w:r>
            <w:r w:rsidR="0025189A" w:rsidRPr="002C7051">
              <w:rPr>
                <w:sz w:val="18"/>
                <w:szCs w:val="20"/>
              </w:rPr>
              <w:t xml:space="preserve"> </w:t>
            </w:r>
            <w:r w:rsidRPr="002C7051">
              <w:rPr>
                <w:sz w:val="18"/>
                <w:szCs w:val="20"/>
              </w:rPr>
              <w:t>facto z mediami nie ma ona nic wspólnego</w:t>
            </w:r>
          </w:p>
        </w:tc>
        <w:tc>
          <w:tcPr>
            <w:tcW w:w="2516" w:type="dxa"/>
          </w:tcPr>
          <w:p w14:paraId="65E86944" w14:textId="1B1442D8" w:rsidR="005230EB" w:rsidRPr="002C7051" w:rsidRDefault="005230EB" w:rsidP="005230EB">
            <w:pPr>
              <w:pStyle w:val="Default"/>
              <w:spacing w:before="120" w:after="120"/>
              <w:rPr>
                <w:sz w:val="18"/>
                <w:szCs w:val="20"/>
              </w:rPr>
            </w:pPr>
            <w:r w:rsidRPr="002C7051">
              <w:rPr>
                <w:sz w:val="18"/>
                <w:szCs w:val="20"/>
              </w:rPr>
              <w:t xml:space="preserve">Proponuję nie używać słów media w kontekście </w:t>
            </w:r>
            <w:proofErr w:type="spellStart"/>
            <w:r w:rsidRPr="002C7051">
              <w:rPr>
                <w:sz w:val="18"/>
                <w:szCs w:val="20"/>
              </w:rPr>
              <w:t>facebooka</w:t>
            </w:r>
            <w:proofErr w:type="spellEnd"/>
            <w:r w:rsidRPr="002C7051">
              <w:rPr>
                <w:sz w:val="18"/>
                <w:szCs w:val="20"/>
              </w:rPr>
              <w:t xml:space="preserve"> czy </w:t>
            </w:r>
            <w:proofErr w:type="spellStart"/>
            <w:r w:rsidRPr="002C7051">
              <w:rPr>
                <w:sz w:val="18"/>
                <w:szCs w:val="20"/>
              </w:rPr>
              <w:t>tiktoka</w:t>
            </w:r>
            <w:proofErr w:type="spellEnd"/>
            <w:r w:rsidRPr="002C7051">
              <w:rPr>
                <w:sz w:val="18"/>
                <w:szCs w:val="20"/>
              </w:rPr>
              <w:t>. Zgodnie z prawem media objęte są przepisami prawa, natomiast te serwisy nie są uregulowane żadnym prawem, opierają się jedynie na jego dobrowolnym przestrzeganiu tego prawa przez jego użytkowników. Dlatego proponuje nazywać je "serwisami społecznościowymi".</w:t>
            </w:r>
          </w:p>
        </w:tc>
        <w:tc>
          <w:tcPr>
            <w:tcW w:w="2517" w:type="dxa"/>
          </w:tcPr>
          <w:p w14:paraId="6B6BC581" w14:textId="7582F738" w:rsidR="005230EB" w:rsidRPr="002C7051" w:rsidRDefault="007C4967" w:rsidP="005230EB">
            <w:pPr>
              <w:pStyle w:val="Default"/>
              <w:spacing w:before="120" w:after="120"/>
              <w:rPr>
                <w:sz w:val="18"/>
                <w:szCs w:val="20"/>
              </w:rPr>
            </w:pPr>
            <w:r w:rsidRPr="002C7051">
              <w:rPr>
                <w:sz w:val="18"/>
                <w:szCs w:val="20"/>
              </w:rPr>
              <w:t>Określenie „media społecznościowe” jest poprawne językowo (posiada swoją definicję słownikową) oraz jest zrozumiałe dla odbiorców.</w:t>
            </w:r>
          </w:p>
          <w:p w14:paraId="201B41FA" w14:textId="4B74B403" w:rsidR="007C4967" w:rsidRPr="002C7051" w:rsidRDefault="007C4967" w:rsidP="005230EB">
            <w:pPr>
              <w:pStyle w:val="Default"/>
              <w:spacing w:before="120" w:after="120"/>
              <w:rPr>
                <w:sz w:val="18"/>
                <w:szCs w:val="20"/>
              </w:rPr>
            </w:pPr>
            <w:r w:rsidRPr="002C7051">
              <w:rPr>
                <w:sz w:val="18"/>
                <w:szCs w:val="20"/>
              </w:rPr>
              <w:t>Uwag</w:t>
            </w:r>
            <w:r w:rsidR="0025189A" w:rsidRPr="002C7051">
              <w:rPr>
                <w:sz w:val="18"/>
                <w:szCs w:val="20"/>
              </w:rPr>
              <w:t>i nie uwzględniono.</w:t>
            </w:r>
          </w:p>
        </w:tc>
      </w:tr>
      <w:tr w:rsidR="005230EB" w:rsidRPr="002C7051" w14:paraId="3B2F57AC" w14:textId="77777777" w:rsidTr="005230EB">
        <w:tc>
          <w:tcPr>
            <w:tcW w:w="2268" w:type="dxa"/>
          </w:tcPr>
          <w:p w14:paraId="44A5411D" w14:textId="1E3E8C5F" w:rsidR="005230EB" w:rsidRPr="002C7051" w:rsidRDefault="005230EB" w:rsidP="005230EB">
            <w:pPr>
              <w:pStyle w:val="Default"/>
              <w:spacing w:before="120" w:after="120"/>
              <w:rPr>
                <w:sz w:val="18"/>
                <w:szCs w:val="20"/>
              </w:rPr>
            </w:pPr>
            <w:r w:rsidRPr="002C7051">
              <w:rPr>
                <w:sz w:val="18"/>
                <w:szCs w:val="20"/>
              </w:rPr>
              <w:t>Brak analizy dostępności komunikacyjnej starzejącego się społeczeństwa</w:t>
            </w:r>
          </w:p>
        </w:tc>
        <w:tc>
          <w:tcPr>
            <w:tcW w:w="2764" w:type="dxa"/>
          </w:tcPr>
          <w:p w14:paraId="736B753C" w14:textId="3A2A6DF5" w:rsidR="005230EB" w:rsidRPr="002C7051" w:rsidRDefault="005230EB" w:rsidP="005230EB">
            <w:pPr>
              <w:pStyle w:val="Default"/>
              <w:spacing w:before="120" w:after="120"/>
              <w:rPr>
                <w:sz w:val="18"/>
                <w:szCs w:val="20"/>
              </w:rPr>
            </w:pPr>
            <w:r w:rsidRPr="002C7051">
              <w:rPr>
                <w:sz w:val="18"/>
                <w:szCs w:val="20"/>
              </w:rPr>
              <w:t>Pomimo zdiagnozowanego problemu związanego ze starzejącym się społeczeństwem i wzrostem w tej grupie problemów zdrowotnych nie ma analizy związanej z dostępnością tej coraz większej grupy osób do dostosowanej do ich potrzeb oferty transportu publicznego.</w:t>
            </w:r>
          </w:p>
        </w:tc>
        <w:tc>
          <w:tcPr>
            <w:tcW w:w="2516" w:type="dxa"/>
          </w:tcPr>
          <w:p w14:paraId="12BFD333" w14:textId="7E70E4C9" w:rsidR="005230EB" w:rsidRPr="002C7051" w:rsidRDefault="005230EB" w:rsidP="005230EB">
            <w:pPr>
              <w:pStyle w:val="Default"/>
              <w:spacing w:before="120" w:after="120"/>
              <w:rPr>
                <w:sz w:val="18"/>
                <w:szCs w:val="20"/>
              </w:rPr>
            </w:pPr>
            <w:r w:rsidRPr="002C7051">
              <w:rPr>
                <w:sz w:val="18"/>
                <w:szCs w:val="20"/>
              </w:rPr>
              <w:t>Starzejące się społeczeństwo i wzrost problemów zdrowotnych, wpłyną na brak możliwości korzystania tej grupy osób z</w:t>
            </w:r>
            <w:r w:rsidR="00E27DBA">
              <w:rPr>
                <w:sz w:val="18"/>
                <w:szCs w:val="20"/>
              </w:rPr>
              <w:t> </w:t>
            </w:r>
            <w:r w:rsidRPr="002C7051">
              <w:rPr>
                <w:sz w:val="18"/>
                <w:szCs w:val="20"/>
              </w:rPr>
              <w:t>transportu indywidualnego (ze względu na stan zdrowia i obniżoną percepcję w</w:t>
            </w:r>
            <w:r w:rsidR="00E27DBA">
              <w:rPr>
                <w:sz w:val="18"/>
                <w:szCs w:val="20"/>
              </w:rPr>
              <w:t> </w:t>
            </w:r>
            <w:r w:rsidRPr="002C7051">
              <w:rPr>
                <w:sz w:val="18"/>
                <w:szCs w:val="20"/>
              </w:rPr>
              <w:t>pewnym wieku nie będą oni zdolni do prowadzenia samochodu), brak jest analizy w kontekście dostosowania oferty transportu publicznego do potrzeb starzejącego się społeczeństwa.</w:t>
            </w:r>
          </w:p>
        </w:tc>
        <w:tc>
          <w:tcPr>
            <w:tcW w:w="2517" w:type="dxa"/>
          </w:tcPr>
          <w:p w14:paraId="28A19F28" w14:textId="77777777" w:rsidR="008306A7" w:rsidRDefault="00755051" w:rsidP="0025189A">
            <w:pPr>
              <w:pStyle w:val="Default"/>
              <w:spacing w:before="120" w:after="120"/>
              <w:rPr>
                <w:sz w:val="18"/>
                <w:szCs w:val="20"/>
              </w:rPr>
            </w:pPr>
            <w:r>
              <w:rPr>
                <w:sz w:val="18"/>
                <w:szCs w:val="20"/>
              </w:rPr>
              <w:t>Jednym z kierunków działań wyznaczonych w strategii jest „</w:t>
            </w:r>
            <w:r w:rsidRPr="00755051">
              <w:rPr>
                <w:sz w:val="18"/>
                <w:szCs w:val="20"/>
              </w:rPr>
              <w:t>Rozwój dostępności przestrzeni publicznej i usług dla osób ze szczególnymi potrzebami</w:t>
            </w:r>
            <w:r>
              <w:rPr>
                <w:sz w:val="18"/>
                <w:szCs w:val="20"/>
              </w:rPr>
              <w:t xml:space="preserve">” – obejmuje on również potrzeby seniorów. </w:t>
            </w:r>
          </w:p>
          <w:p w14:paraId="6BBAB389" w14:textId="4ED6C34C" w:rsidR="0025189A" w:rsidRDefault="00755051" w:rsidP="0025189A">
            <w:pPr>
              <w:pStyle w:val="Default"/>
              <w:spacing w:before="120" w:after="120"/>
              <w:rPr>
                <w:sz w:val="18"/>
                <w:szCs w:val="20"/>
              </w:rPr>
            </w:pPr>
            <w:r>
              <w:rPr>
                <w:sz w:val="18"/>
                <w:szCs w:val="20"/>
              </w:rPr>
              <w:t>W badaniu ankietowym ponad 75% osób w</w:t>
            </w:r>
            <w:r w:rsidR="00CE11D1">
              <w:rPr>
                <w:sz w:val="18"/>
                <w:szCs w:val="20"/>
              </w:rPr>
              <w:t> </w:t>
            </w:r>
            <w:bookmarkStart w:id="0" w:name="_GoBack"/>
            <w:bookmarkEnd w:id="0"/>
            <w:r>
              <w:rPr>
                <w:sz w:val="18"/>
                <w:szCs w:val="20"/>
              </w:rPr>
              <w:t>wieku 60-69 i 70+ dobrze oceni</w:t>
            </w:r>
            <w:r w:rsidR="00CE11D1">
              <w:rPr>
                <w:sz w:val="18"/>
                <w:szCs w:val="20"/>
              </w:rPr>
              <w:t xml:space="preserve">ło </w:t>
            </w:r>
            <w:r>
              <w:rPr>
                <w:sz w:val="18"/>
                <w:szCs w:val="20"/>
              </w:rPr>
              <w:t>funkcjonowanie komunikacji publicznej w</w:t>
            </w:r>
            <w:r w:rsidR="008306A7">
              <w:rPr>
                <w:sz w:val="18"/>
                <w:szCs w:val="20"/>
              </w:rPr>
              <w:t> </w:t>
            </w:r>
            <w:r>
              <w:rPr>
                <w:sz w:val="18"/>
                <w:szCs w:val="20"/>
              </w:rPr>
              <w:t>swojej dzielnicy.</w:t>
            </w:r>
          </w:p>
          <w:p w14:paraId="63635BE9" w14:textId="5535AC24" w:rsidR="00755051" w:rsidRPr="002C7051" w:rsidRDefault="00755051" w:rsidP="0025189A">
            <w:pPr>
              <w:pStyle w:val="Default"/>
              <w:spacing w:before="120" w:after="120"/>
              <w:rPr>
                <w:sz w:val="18"/>
                <w:szCs w:val="20"/>
              </w:rPr>
            </w:pPr>
            <w:r>
              <w:rPr>
                <w:sz w:val="18"/>
                <w:szCs w:val="20"/>
              </w:rPr>
              <w:t>Natomiast szczegółowe analizy dotyczące wzorców korzystania z</w:t>
            </w:r>
            <w:r w:rsidR="008306A7">
              <w:rPr>
                <w:sz w:val="18"/>
                <w:szCs w:val="20"/>
              </w:rPr>
              <w:t> </w:t>
            </w:r>
            <w:r>
              <w:rPr>
                <w:sz w:val="18"/>
                <w:szCs w:val="20"/>
              </w:rPr>
              <w:t>transportu czy potrzeb w zakresie oferty przewozowej wykraczają poza zakres strategii.</w:t>
            </w:r>
          </w:p>
          <w:p w14:paraId="641600F3" w14:textId="7DE5960F" w:rsidR="005230EB" w:rsidRPr="002C7051" w:rsidRDefault="007C4967" w:rsidP="0025189A">
            <w:pPr>
              <w:pStyle w:val="Default"/>
              <w:spacing w:before="120" w:after="120"/>
              <w:rPr>
                <w:sz w:val="18"/>
                <w:szCs w:val="20"/>
              </w:rPr>
            </w:pPr>
            <w:r w:rsidRPr="002C7051">
              <w:rPr>
                <w:sz w:val="18"/>
                <w:szCs w:val="20"/>
              </w:rPr>
              <w:t>Uwag</w:t>
            </w:r>
            <w:r w:rsidR="0025189A" w:rsidRPr="002C7051">
              <w:rPr>
                <w:sz w:val="18"/>
                <w:szCs w:val="20"/>
              </w:rPr>
              <w:t>i nie uwzględniono.</w:t>
            </w:r>
          </w:p>
        </w:tc>
      </w:tr>
    </w:tbl>
    <w:p w14:paraId="035D2A5C" w14:textId="2BD72530" w:rsidR="0025189A" w:rsidRDefault="0025189A" w:rsidP="008306A7">
      <w:pPr>
        <w:pStyle w:val="Default"/>
        <w:numPr>
          <w:ilvl w:val="0"/>
          <w:numId w:val="19"/>
        </w:numPr>
        <w:spacing w:before="360" w:after="120"/>
        <w:ind w:left="284" w:hanging="284"/>
        <w:jc w:val="both"/>
        <w:rPr>
          <w:sz w:val="20"/>
          <w:szCs w:val="20"/>
        </w:rPr>
      </w:pPr>
      <w:r>
        <w:rPr>
          <w:sz w:val="20"/>
          <w:szCs w:val="20"/>
        </w:rPr>
        <w:t xml:space="preserve">W związku ze zgłoszeniem uwag dotyczących transportu publicznego, wykraczających poza zakres strategii rozwiązywania problemów społecznych, protokół zostanie </w:t>
      </w:r>
      <w:r>
        <w:rPr>
          <w:sz w:val="20"/>
          <w:szCs w:val="20"/>
        </w:rPr>
        <w:lastRenderedPageBreak/>
        <w:t>przekazany do wiadomości wydziału odpowiedzialnego za z</w:t>
      </w:r>
      <w:r w:rsidRPr="0025189A">
        <w:rPr>
          <w:sz w:val="20"/>
          <w:szCs w:val="20"/>
        </w:rPr>
        <w:t>apewnienie warunków do</w:t>
      </w:r>
      <w:r w:rsidR="002C7051">
        <w:rPr>
          <w:sz w:val="20"/>
          <w:szCs w:val="20"/>
        </w:rPr>
        <w:t> </w:t>
      </w:r>
      <w:r w:rsidRPr="0025189A">
        <w:rPr>
          <w:sz w:val="20"/>
          <w:szCs w:val="20"/>
        </w:rPr>
        <w:t>funkcjonowania transportu zbiorowego w mieście.</w:t>
      </w:r>
    </w:p>
    <w:p w14:paraId="134C3334" w14:textId="2F2D9941" w:rsidR="006C69F3" w:rsidRDefault="006C69F3" w:rsidP="00610BA0">
      <w:pPr>
        <w:pStyle w:val="Default"/>
        <w:numPr>
          <w:ilvl w:val="0"/>
          <w:numId w:val="19"/>
        </w:numPr>
        <w:spacing w:before="120" w:after="120"/>
        <w:ind w:left="284" w:hanging="284"/>
        <w:jc w:val="both"/>
        <w:rPr>
          <w:sz w:val="20"/>
          <w:szCs w:val="20"/>
        </w:rPr>
      </w:pPr>
      <w:r>
        <w:rPr>
          <w:sz w:val="20"/>
          <w:szCs w:val="20"/>
        </w:rPr>
        <w:t>Protokół sporządzon</w:t>
      </w:r>
      <w:r w:rsidRPr="002C17F8">
        <w:rPr>
          <w:color w:val="auto"/>
          <w:sz w:val="20"/>
          <w:szCs w:val="20"/>
        </w:rPr>
        <w:t>o dnia 2</w:t>
      </w:r>
      <w:r w:rsidR="002C17F8" w:rsidRPr="002C17F8">
        <w:rPr>
          <w:color w:val="auto"/>
          <w:sz w:val="20"/>
          <w:szCs w:val="20"/>
        </w:rPr>
        <w:t>3</w:t>
      </w:r>
      <w:r w:rsidRPr="002C17F8">
        <w:rPr>
          <w:color w:val="auto"/>
          <w:sz w:val="20"/>
          <w:szCs w:val="20"/>
        </w:rPr>
        <w:t xml:space="preserve"> </w:t>
      </w:r>
      <w:r w:rsidR="002C17F8" w:rsidRPr="002C17F8">
        <w:rPr>
          <w:color w:val="auto"/>
          <w:sz w:val="20"/>
          <w:szCs w:val="20"/>
        </w:rPr>
        <w:t>marc</w:t>
      </w:r>
      <w:r w:rsidRPr="002C17F8">
        <w:rPr>
          <w:color w:val="auto"/>
          <w:sz w:val="20"/>
          <w:szCs w:val="20"/>
        </w:rPr>
        <w:t>a 202</w:t>
      </w:r>
      <w:r w:rsidR="002C17F8" w:rsidRPr="002C17F8">
        <w:rPr>
          <w:color w:val="auto"/>
          <w:sz w:val="20"/>
          <w:szCs w:val="20"/>
        </w:rPr>
        <w:t>6</w:t>
      </w:r>
      <w:r w:rsidRPr="002C17F8">
        <w:rPr>
          <w:color w:val="auto"/>
          <w:sz w:val="20"/>
          <w:szCs w:val="20"/>
        </w:rPr>
        <w:t xml:space="preserve"> r.</w:t>
      </w:r>
    </w:p>
    <w:p w14:paraId="2AABCAB6" w14:textId="5312A1D3" w:rsidR="00956DCA" w:rsidRDefault="00956DCA" w:rsidP="00BB2D44">
      <w:pPr>
        <w:pStyle w:val="Default"/>
        <w:spacing w:before="120" w:after="120"/>
        <w:ind w:left="4111" w:firstLine="709"/>
        <w:jc w:val="center"/>
        <w:rPr>
          <w:rFonts w:eastAsia="SimSun" w:cs="Arial"/>
          <w:kern w:val="3"/>
          <w:sz w:val="20"/>
          <w:szCs w:val="20"/>
          <w:lang w:eastAsia="ar-SA" w:bidi="hi-IN"/>
        </w:rPr>
      </w:pPr>
    </w:p>
    <w:p w14:paraId="0CD6F738" w14:textId="2DD6D179" w:rsidR="008306A7" w:rsidRDefault="008306A7" w:rsidP="00BB2D44">
      <w:pPr>
        <w:pStyle w:val="Default"/>
        <w:spacing w:before="120" w:after="120"/>
        <w:ind w:left="4111" w:firstLine="709"/>
        <w:jc w:val="center"/>
        <w:rPr>
          <w:rFonts w:eastAsia="SimSun" w:cs="Arial"/>
          <w:kern w:val="3"/>
          <w:sz w:val="20"/>
          <w:szCs w:val="20"/>
          <w:lang w:eastAsia="ar-SA" w:bidi="hi-IN"/>
        </w:rPr>
      </w:pPr>
    </w:p>
    <w:p w14:paraId="252ED64A" w14:textId="77777777" w:rsidR="008306A7" w:rsidRDefault="008306A7" w:rsidP="00BB2D44">
      <w:pPr>
        <w:pStyle w:val="Default"/>
        <w:spacing w:before="120" w:after="120"/>
        <w:ind w:left="4111" w:firstLine="709"/>
        <w:jc w:val="center"/>
        <w:rPr>
          <w:rFonts w:eastAsia="SimSun" w:cs="Arial"/>
          <w:kern w:val="3"/>
          <w:sz w:val="20"/>
          <w:szCs w:val="20"/>
          <w:lang w:eastAsia="ar-SA" w:bidi="hi-IN"/>
        </w:rPr>
      </w:pPr>
    </w:p>
    <w:p w14:paraId="1B8C69AF" w14:textId="77777777" w:rsidR="00BB2D44" w:rsidRPr="008B15C5" w:rsidRDefault="00BB2D44" w:rsidP="00956DCA">
      <w:pPr>
        <w:pStyle w:val="Default"/>
        <w:spacing w:before="120" w:after="120"/>
        <w:ind w:left="4111" w:firstLine="1134"/>
        <w:jc w:val="center"/>
        <w:rPr>
          <w:color w:val="auto"/>
          <w:sz w:val="20"/>
          <w:szCs w:val="20"/>
        </w:rPr>
      </w:pPr>
      <w:r>
        <w:rPr>
          <w:rFonts w:eastAsia="SimSun" w:cs="Arial"/>
          <w:kern w:val="3"/>
          <w:sz w:val="20"/>
          <w:szCs w:val="20"/>
          <w:lang w:eastAsia="ar-SA" w:bidi="hi-IN"/>
        </w:rPr>
        <w:t xml:space="preserve"> </w:t>
      </w:r>
      <w:r w:rsidRPr="0046382A">
        <w:rPr>
          <w:color w:val="auto"/>
          <w:sz w:val="20"/>
          <w:szCs w:val="20"/>
        </w:rPr>
        <w:t>Z</w:t>
      </w:r>
      <w:r>
        <w:rPr>
          <w:color w:val="auto"/>
          <w:sz w:val="20"/>
          <w:szCs w:val="20"/>
        </w:rPr>
        <w:t>astępca</w:t>
      </w:r>
      <w:r w:rsidRPr="0046382A">
        <w:rPr>
          <w:color w:val="auto"/>
          <w:sz w:val="20"/>
          <w:szCs w:val="20"/>
        </w:rPr>
        <w:t xml:space="preserve"> Prezydenta Miasta Gliwice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b/>
          <w:color w:val="auto"/>
          <w:sz w:val="20"/>
          <w:szCs w:val="20"/>
        </w:rPr>
        <w:t>Łukasz Gorczyński</w:t>
      </w:r>
    </w:p>
    <w:p w14:paraId="050EB5B7" w14:textId="6A0BBFC5" w:rsidR="002C7051" w:rsidRDefault="002C7051" w:rsidP="00956DCA">
      <w:pPr>
        <w:shd w:val="clear" w:color="auto" w:fill="FFFFFF"/>
        <w:spacing w:after="0" w:line="240" w:lineRule="auto"/>
        <w:rPr>
          <w:rFonts w:ascii="Verdana" w:hAnsi="Verdana"/>
          <w:i/>
          <w:sz w:val="20"/>
          <w:szCs w:val="20"/>
        </w:rPr>
      </w:pPr>
    </w:p>
    <w:p w14:paraId="5FC8CE05" w14:textId="79859D31" w:rsidR="002C7051" w:rsidRDefault="002C7051" w:rsidP="00956DCA">
      <w:pPr>
        <w:shd w:val="clear" w:color="auto" w:fill="FFFFFF"/>
        <w:spacing w:after="0" w:line="240" w:lineRule="auto"/>
        <w:rPr>
          <w:rFonts w:ascii="Verdana" w:hAnsi="Verdana"/>
          <w:i/>
          <w:sz w:val="20"/>
          <w:szCs w:val="20"/>
        </w:rPr>
      </w:pPr>
    </w:p>
    <w:p w14:paraId="15EC4E93" w14:textId="258F14ED" w:rsidR="008306A7" w:rsidRDefault="008306A7" w:rsidP="00956DCA">
      <w:pPr>
        <w:shd w:val="clear" w:color="auto" w:fill="FFFFFF"/>
        <w:spacing w:after="0" w:line="240" w:lineRule="auto"/>
        <w:rPr>
          <w:rFonts w:ascii="Verdana" w:hAnsi="Verdana"/>
          <w:i/>
          <w:sz w:val="20"/>
          <w:szCs w:val="20"/>
        </w:rPr>
      </w:pPr>
    </w:p>
    <w:p w14:paraId="7D22926C" w14:textId="325840A2" w:rsidR="008306A7" w:rsidRDefault="008306A7" w:rsidP="00956DCA">
      <w:pPr>
        <w:shd w:val="clear" w:color="auto" w:fill="FFFFFF"/>
        <w:spacing w:after="0" w:line="240" w:lineRule="auto"/>
        <w:rPr>
          <w:rFonts w:ascii="Verdana" w:hAnsi="Verdana"/>
          <w:i/>
          <w:sz w:val="20"/>
          <w:szCs w:val="20"/>
        </w:rPr>
      </w:pPr>
    </w:p>
    <w:p w14:paraId="7EB44304" w14:textId="647BEB2F" w:rsidR="008306A7" w:rsidRDefault="008306A7" w:rsidP="00956DCA">
      <w:pPr>
        <w:shd w:val="clear" w:color="auto" w:fill="FFFFFF"/>
        <w:spacing w:after="0" w:line="240" w:lineRule="auto"/>
        <w:rPr>
          <w:rFonts w:ascii="Verdana" w:hAnsi="Verdana"/>
          <w:i/>
          <w:sz w:val="20"/>
          <w:szCs w:val="20"/>
        </w:rPr>
      </w:pPr>
    </w:p>
    <w:p w14:paraId="00FA584C" w14:textId="1F1A1681" w:rsidR="008306A7" w:rsidRDefault="008306A7" w:rsidP="00956DCA">
      <w:pPr>
        <w:shd w:val="clear" w:color="auto" w:fill="FFFFFF"/>
        <w:spacing w:after="0" w:line="240" w:lineRule="auto"/>
        <w:rPr>
          <w:rFonts w:ascii="Verdana" w:hAnsi="Verdana"/>
          <w:i/>
          <w:sz w:val="20"/>
          <w:szCs w:val="20"/>
        </w:rPr>
      </w:pPr>
    </w:p>
    <w:p w14:paraId="46DE23DD" w14:textId="77777777" w:rsidR="008306A7" w:rsidRDefault="008306A7" w:rsidP="00956DCA">
      <w:pPr>
        <w:shd w:val="clear" w:color="auto" w:fill="FFFFFF"/>
        <w:spacing w:after="0" w:line="240" w:lineRule="auto"/>
        <w:rPr>
          <w:rFonts w:ascii="Verdana" w:hAnsi="Verdana"/>
          <w:i/>
          <w:sz w:val="20"/>
          <w:szCs w:val="20"/>
        </w:rPr>
      </w:pPr>
    </w:p>
    <w:p w14:paraId="09560DD0" w14:textId="62161ACB" w:rsidR="00A16077" w:rsidRPr="00A16077" w:rsidRDefault="00BB2D44" w:rsidP="00956DCA">
      <w:pPr>
        <w:shd w:val="clear" w:color="auto" w:fill="FFFFFF"/>
        <w:spacing w:after="0" w:line="240" w:lineRule="auto"/>
        <w:rPr>
          <w:rFonts w:ascii="Verdana" w:hAnsi="Verdana"/>
          <w:sz w:val="20"/>
          <w:szCs w:val="20"/>
        </w:rPr>
      </w:pPr>
      <w:r>
        <w:rPr>
          <w:rFonts w:ascii="Verdana" w:hAnsi="Verdana"/>
          <w:i/>
          <w:sz w:val="20"/>
          <w:szCs w:val="20"/>
        </w:rPr>
        <w:t xml:space="preserve"> Dokument podpisany kwalifikowanym podpisem elektronicznym</w:t>
      </w:r>
    </w:p>
    <w:sectPr w:rsidR="00A16077" w:rsidRPr="00A16077" w:rsidSect="008306A7">
      <w:pgSz w:w="11906" w:h="16838"/>
      <w:pgMar w:top="1276" w:right="1417" w:bottom="15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altName w:val="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53722"/>
    <w:multiLevelType w:val="hybridMultilevel"/>
    <w:tmpl w:val="842C23B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A9E04B0"/>
    <w:multiLevelType w:val="hybridMultilevel"/>
    <w:tmpl w:val="2398CA4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10BE0039"/>
    <w:multiLevelType w:val="hybridMultilevel"/>
    <w:tmpl w:val="4E8828CA"/>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25F13565"/>
    <w:multiLevelType w:val="hybridMultilevel"/>
    <w:tmpl w:val="423A00C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26C05BFE"/>
    <w:multiLevelType w:val="hybridMultilevel"/>
    <w:tmpl w:val="D77A00FA"/>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29E86AE7"/>
    <w:multiLevelType w:val="hybridMultilevel"/>
    <w:tmpl w:val="A7D051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19074E"/>
    <w:multiLevelType w:val="hybridMultilevel"/>
    <w:tmpl w:val="E3EEC7A4"/>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2B516AE0"/>
    <w:multiLevelType w:val="hybridMultilevel"/>
    <w:tmpl w:val="C15EE12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2FFA38E0"/>
    <w:multiLevelType w:val="hybridMultilevel"/>
    <w:tmpl w:val="642AFAB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3B461A20"/>
    <w:multiLevelType w:val="hybridMultilevel"/>
    <w:tmpl w:val="0832AE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CDD21DE"/>
    <w:multiLevelType w:val="hybridMultilevel"/>
    <w:tmpl w:val="C4C8C3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F6C5657"/>
    <w:multiLevelType w:val="hybridMultilevel"/>
    <w:tmpl w:val="1758EBC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456F7767"/>
    <w:multiLevelType w:val="hybridMultilevel"/>
    <w:tmpl w:val="038EBCA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590D0FFC"/>
    <w:multiLevelType w:val="hybridMultilevel"/>
    <w:tmpl w:val="C91487E4"/>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730F5E40"/>
    <w:multiLevelType w:val="hybridMultilevel"/>
    <w:tmpl w:val="2BBE89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370553C"/>
    <w:multiLevelType w:val="hybridMultilevel"/>
    <w:tmpl w:val="45BCB98E"/>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76462D98"/>
    <w:multiLevelType w:val="hybridMultilevel"/>
    <w:tmpl w:val="A3686586"/>
    <w:lvl w:ilvl="0" w:tplc="0415000B">
      <w:start w:val="1"/>
      <w:numFmt w:val="bullet"/>
      <w:lvlText w:val=""/>
      <w:lvlJc w:val="left"/>
      <w:pPr>
        <w:ind w:left="1657" w:hanging="360"/>
      </w:pPr>
      <w:rPr>
        <w:rFonts w:ascii="Wingdings" w:hAnsi="Wingdings" w:hint="default"/>
      </w:rPr>
    </w:lvl>
    <w:lvl w:ilvl="1" w:tplc="04150003" w:tentative="1">
      <w:start w:val="1"/>
      <w:numFmt w:val="bullet"/>
      <w:lvlText w:val="o"/>
      <w:lvlJc w:val="left"/>
      <w:pPr>
        <w:ind w:left="2377" w:hanging="360"/>
      </w:pPr>
      <w:rPr>
        <w:rFonts w:ascii="Courier New" w:hAnsi="Courier New" w:cs="Courier New" w:hint="default"/>
      </w:rPr>
    </w:lvl>
    <w:lvl w:ilvl="2" w:tplc="04150005" w:tentative="1">
      <w:start w:val="1"/>
      <w:numFmt w:val="bullet"/>
      <w:lvlText w:val=""/>
      <w:lvlJc w:val="left"/>
      <w:pPr>
        <w:ind w:left="3097" w:hanging="360"/>
      </w:pPr>
      <w:rPr>
        <w:rFonts w:ascii="Wingdings" w:hAnsi="Wingdings" w:hint="default"/>
      </w:rPr>
    </w:lvl>
    <w:lvl w:ilvl="3" w:tplc="04150001" w:tentative="1">
      <w:start w:val="1"/>
      <w:numFmt w:val="bullet"/>
      <w:lvlText w:val=""/>
      <w:lvlJc w:val="left"/>
      <w:pPr>
        <w:ind w:left="3817" w:hanging="360"/>
      </w:pPr>
      <w:rPr>
        <w:rFonts w:ascii="Symbol" w:hAnsi="Symbol" w:hint="default"/>
      </w:rPr>
    </w:lvl>
    <w:lvl w:ilvl="4" w:tplc="04150003" w:tentative="1">
      <w:start w:val="1"/>
      <w:numFmt w:val="bullet"/>
      <w:lvlText w:val="o"/>
      <w:lvlJc w:val="left"/>
      <w:pPr>
        <w:ind w:left="4537" w:hanging="360"/>
      </w:pPr>
      <w:rPr>
        <w:rFonts w:ascii="Courier New" w:hAnsi="Courier New" w:cs="Courier New" w:hint="default"/>
      </w:rPr>
    </w:lvl>
    <w:lvl w:ilvl="5" w:tplc="04150005" w:tentative="1">
      <w:start w:val="1"/>
      <w:numFmt w:val="bullet"/>
      <w:lvlText w:val=""/>
      <w:lvlJc w:val="left"/>
      <w:pPr>
        <w:ind w:left="5257" w:hanging="360"/>
      </w:pPr>
      <w:rPr>
        <w:rFonts w:ascii="Wingdings" w:hAnsi="Wingdings" w:hint="default"/>
      </w:rPr>
    </w:lvl>
    <w:lvl w:ilvl="6" w:tplc="04150001" w:tentative="1">
      <w:start w:val="1"/>
      <w:numFmt w:val="bullet"/>
      <w:lvlText w:val=""/>
      <w:lvlJc w:val="left"/>
      <w:pPr>
        <w:ind w:left="5977" w:hanging="360"/>
      </w:pPr>
      <w:rPr>
        <w:rFonts w:ascii="Symbol" w:hAnsi="Symbol" w:hint="default"/>
      </w:rPr>
    </w:lvl>
    <w:lvl w:ilvl="7" w:tplc="04150003" w:tentative="1">
      <w:start w:val="1"/>
      <w:numFmt w:val="bullet"/>
      <w:lvlText w:val="o"/>
      <w:lvlJc w:val="left"/>
      <w:pPr>
        <w:ind w:left="6697" w:hanging="360"/>
      </w:pPr>
      <w:rPr>
        <w:rFonts w:ascii="Courier New" w:hAnsi="Courier New" w:cs="Courier New" w:hint="default"/>
      </w:rPr>
    </w:lvl>
    <w:lvl w:ilvl="8" w:tplc="04150005" w:tentative="1">
      <w:start w:val="1"/>
      <w:numFmt w:val="bullet"/>
      <w:lvlText w:val=""/>
      <w:lvlJc w:val="left"/>
      <w:pPr>
        <w:ind w:left="7417" w:hanging="360"/>
      </w:pPr>
      <w:rPr>
        <w:rFonts w:ascii="Wingdings" w:hAnsi="Wingdings" w:hint="default"/>
      </w:rPr>
    </w:lvl>
  </w:abstractNum>
  <w:abstractNum w:abstractNumId="17" w15:restartNumberingAfterBreak="0">
    <w:nsid w:val="7D370875"/>
    <w:multiLevelType w:val="hybridMultilevel"/>
    <w:tmpl w:val="476EC48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7EEE3997"/>
    <w:multiLevelType w:val="hybridMultilevel"/>
    <w:tmpl w:val="342E289A"/>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0"/>
  </w:num>
  <w:num w:numId="2">
    <w:abstractNumId w:val="15"/>
  </w:num>
  <w:num w:numId="3">
    <w:abstractNumId w:val="4"/>
  </w:num>
  <w:num w:numId="4">
    <w:abstractNumId w:val="13"/>
  </w:num>
  <w:num w:numId="5">
    <w:abstractNumId w:val="7"/>
  </w:num>
  <w:num w:numId="6">
    <w:abstractNumId w:val="6"/>
  </w:num>
  <w:num w:numId="7">
    <w:abstractNumId w:val="8"/>
  </w:num>
  <w:num w:numId="8">
    <w:abstractNumId w:val="0"/>
  </w:num>
  <w:num w:numId="9">
    <w:abstractNumId w:val="12"/>
  </w:num>
  <w:num w:numId="10">
    <w:abstractNumId w:val="3"/>
  </w:num>
  <w:num w:numId="11">
    <w:abstractNumId w:val="2"/>
  </w:num>
  <w:num w:numId="12">
    <w:abstractNumId w:val="11"/>
  </w:num>
  <w:num w:numId="13">
    <w:abstractNumId w:val="1"/>
  </w:num>
  <w:num w:numId="14">
    <w:abstractNumId w:val="18"/>
  </w:num>
  <w:num w:numId="15">
    <w:abstractNumId w:val="17"/>
  </w:num>
  <w:num w:numId="16">
    <w:abstractNumId w:val="16"/>
  </w:num>
  <w:num w:numId="17">
    <w:abstractNumId w:val="14"/>
  </w:num>
  <w:num w:numId="18">
    <w:abstractNumId w:val="9"/>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391"/>
    <w:rsid w:val="000146F7"/>
    <w:rsid w:val="000401C4"/>
    <w:rsid w:val="00054B1C"/>
    <w:rsid w:val="00080C7F"/>
    <w:rsid w:val="000C48EC"/>
    <w:rsid w:val="000F75D1"/>
    <w:rsid w:val="00114900"/>
    <w:rsid w:val="00115C98"/>
    <w:rsid w:val="001E1292"/>
    <w:rsid w:val="001F6391"/>
    <w:rsid w:val="00213D61"/>
    <w:rsid w:val="0025189A"/>
    <w:rsid w:val="002931A4"/>
    <w:rsid w:val="002C17F8"/>
    <w:rsid w:val="002C7051"/>
    <w:rsid w:val="0032020C"/>
    <w:rsid w:val="00333732"/>
    <w:rsid w:val="003352F2"/>
    <w:rsid w:val="003C076F"/>
    <w:rsid w:val="003D1326"/>
    <w:rsid w:val="004B4F5D"/>
    <w:rsid w:val="004B6D98"/>
    <w:rsid w:val="00505038"/>
    <w:rsid w:val="005230EB"/>
    <w:rsid w:val="00533EAD"/>
    <w:rsid w:val="00545D8F"/>
    <w:rsid w:val="00557115"/>
    <w:rsid w:val="00574E9A"/>
    <w:rsid w:val="00584667"/>
    <w:rsid w:val="0059170F"/>
    <w:rsid w:val="005C2DB8"/>
    <w:rsid w:val="00610BA0"/>
    <w:rsid w:val="00631436"/>
    <w:rsid w:val="0065429E"/>
    <w:rsid w:val="006C69F3"/>
    <w:rsid w:val="00755051"/>
    <w:rsid w:val="007C4967"/>
    <w:rsid w:val="00826385"/>
    <w:rsid w:val="008306A7"/>
    <w:rsid w:val="00837BF0"/>
    <w:rsid w:val="00861824"/>
    <w:rsid w:val="008902F0"/>
    <w:rsid w:val="008C7D86"/>
    <w:rsid w:val="00907ED1"/>
    <w:rsid w:val="00956DCA"/>
    <w:rsid w:val="00980AE6"/>
    <w:rsid w:val="00996BB2"/>
    <w:rsid w:val="009A587E"/>
    <w:rsid w:val="009D6A72"/>
    <w:rsid w:val="009E4881"/>
    <w:rsid w:val="00A16077"/>
    <w:rsid w:val="00AC6CFF"/>
    <w:rsid w:val="00AC6DDA"/>
    <w:rsid w:val="00AD5B21"/>
    <w:rsid w:val="00B16492"/>
    <w:rsid w:val="00B24F25"/>
    <w:rsid w:val="00B640C9"/>
    <w:rsid w:val="00B91B8D"/>
    <w:rsid w:val="00BA0EA7"/>
    <w:rsid w:val="00BB2D44"/>
    <w:rsid w:val="00BD0E1A"/>
    <w:rsid w:val="00C414AA"/>
    <w:rsid w:val="00C4792A"/>
    <w:rsid w:val="00C60AF7"/>
    <w:rsid w:val="00CE11D1"/>
    <w:rsid w:val="00CF056E"/>
    <w:rsid w:val="00D360DF"/>
    <w:rsid w:val="00D64570"/>
    <w:rsid w:val="00D827B1"/>
    <w:rsid w:val="00DC7B75"/>
    <w:rsid w:val="00E04EF7"/>
    <w:rsid w:val="00E05B6F"/>
    <w:rsid w:val="00E24376"/>
    <w:rsid w:val="00E27DBA"/>
    <w:rsid w:val="00F052C0"/>
    <w:rsid w:val="00F2004B"/>
    <w:rsid w:val="00F824B0"/>
    <w:rsid w:val="00FC40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98DA2"/>
  <w15:chartTrackingRefBased/>
  <w15:docId w15:val="{99767D04-706D-4376-8DE1-93B0AA2FA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3">
    <w:name w:val="heading 3"/>
    <w:basedOn w:val="Normalny"/>
    <w:link w:val="Nagwek3Znak"/>
    <w:uiPriority w:val="9"/>
    <w:qFormat/>
    <w:rsid w:val="001F6391"/>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1F6391"/>
    <w:rPr>
      <w:rFonts w:ascii="Times New Roman" w:eastAsia="Times New Roman" w:hAnsi="Times New Roman" w:cs="Times New Roman"/>
      <w:b/>
      <w:bCs/>
      <w:sz w:val="27"/>
      <w:szCs w:val="27"/>
      <w:lang w:eastAsia="pl-PL"/>
    </w:rPr>
  </w:style>
  <w:style w:type="paragraph" w:customStyle="1" w:styleId="Default">
    <w:name w:val="Default"/>
    <w:rsid w:val="001F6391"/>
    <w:pPr>
      <w:autoSpaceDE w:val="0"/>
      <w:autoSpaceDN w:val="0"/>
      <w:adjustRightInd w:val="0"/>
      <w:spacing w:after="0" w:line="240" w:lineRule="auto"/>
    </w:pPr>
    <w:rPr>
      <w:rFonts w:ascii="Verdana" w:hAnsi="Verdana" w:cs="Verdana"/>
      <w:color w:val="000000"/>
      <w:sz w:val="24"/>
      <w:szCs w:val="24"/>
    </w:rPr>
  </w:style>
  <w:style w:type="character" w:styleId="Hipercze">
    <w:name w:val="Hyperlink"/>
    <w:basedOn w:val="Domylnaczcionkaakapitu"/>
    <w:uiPriority w:val="99"/>
    <w:unhideWhenUsed/>
    <w:rsid w:val="00A16077"/>
    <w:rPr>
      <w:color w:val="0563C1" w:themeColor="hyperlink"/>
      <w:u w:val="single"/>
    </w:rPr>
  </w:style>
  <w:style w:type="character" w:styleId="Nierozpoznanawzmianka">
    <w:name w:val="Unresolved Mention"/>
    <w:basedOn w:val="Domylnaczcionkaakapitu"/>
    <w:uiPriority w:val="99"/>
    <w:semiHidden/>
    <w:unhideWhenUsed/>
    <w:rsid w:val="00A16077"/>
    <w:rPr>
      <w:color w:val="605E5C"/>
      <w:shd w:val="clear" w:color="auto" w:fill="E1DFDD"/>
    </w:rPr>
  </w:style>
  <w:style w:type="table" w:styleId="Tabela-Siatka">
    <w:name w:val="Table Grid"/>
    <w:basedOn w:val="Standardowy"/>
    <w:uiPriority w:val="39"/>
    <w:rsid w:val="00DC7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533EAD"/>
    <w:pPr>
      <w:spacing w:after="120" w:line="360" w:lineRule="atLeast"/>
      <w:jc w:val="both"/>
    </w:pPr>
    <w:rPr>
      <w:rFonts w:ascii="Times New Roman" w:eastAsia="Times New Roman" w:hAnsi="Times New Roman" w:cs="Times New Roman"/>
      <w:kern w:val="20"/>
      <w:sz w:val="24"/>
      <w:szCs w:val="24"/>
      <w:lang w:eastAsia="pl-PL"/>
    </w:rPr>
  </w:style>
  <w:style w:type="character" w:styleId="Odwoaniedokomentarza">
    <w:name w:val="annotation reference"/>
    <w:basedOn w:val="Domylnaczcionkaakapitu"/>
    <w:uiPriority w:val="99"/>
    <w:semiHidden/>
    <w:unhideWhenUsed/>
    <w:rsid w:val="00980AE6"/>
    <w:rPr>
      <w:sz w:val="16"/>
      <w:szCs w:val="16"/>
    </w:rPr>
  </w:style>
  <w:style w:type="paragraph" w:styleId="Tekstkomentarza">
    <w:name w:val="annotation text"/>
    <w:basedOn w:val="Normalny"/>
    <w:link w:val="TekstkomentarzaZnak"/>
    <w:uiPriority w:val="99"/>
    <w:semiHidden/>
    <w:unhideWhenUsed/>
    <w:rsid w:val="00980AE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80AE6"/>
    <w:rPr>
      <w:sz w:val="20"/>
      <w:szCs w:val="20"/>
    </w:rPr>
  </w:style>
  <w:style w:type="paragraph" w:styleId="Tematkomentarza">
    <w:name w:val="annotation subject"/>
    <w:basedOn w:val="Tekstkomentarza"/>
    <w:next w:val="Tekstkomentarza"/>
    <w:link w:val="TematkomentarzaZnak"/>
    <w:uiPriority w:val="99"/>
    <w:semiHidden/>
    <w:unhideWhenUsed/>
    <w:rsid w:val="00980AE6"/>
    <w:rPr>
      <w:b/>
      <w:bCs/>
    </w:rPr>
  </w:style>
  <w:style w:type="character" w:customStyle="1" w:styleId="TematkomentarzaZnak">
    <w:name w:val="Temat komentarza Znak"/>
    <w:basedOn w:val="TekstkomentarzaZnak"/>
    <w:link w:val="Tematkomentarza"/>
    <w:uiPriority w:val="99"/>
    <w:semiHidden/>
    <w:rsid w:val="00980AE6"/>
    <w:rPr>
      <w:b/>
      <w:bCs/>
      <w:sz w:val="20"/>
      <w:szCs w:val="20"/>
    </w:rPr>
  </w:style>
  <w:style w:type="paragraph" w:styleId="Tekstdymka">
    <w:name w:val="Balloon Text"/>
    <w:basedOn w:val="Normalny"/>
    <w:link w:val="TekstdymkaZnak"/>
    <w:uiPriority w:val="99"/>
    <w:semiHidden/>
    <w:unhideWhenUsed/>
    <w:rsid w:val="00980A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80AE6"/>
    <w:rPr>
      <w:rFonts w:ascii="Segoe UI" w:hAnsi="Segoe UI" w:cs="Segoe UI"/>
      <w:sz w:val="18"/>
      <w:szCs w:val="18"/>
    </w:rPr>
  </w:style>
  <w:style w:type="paragraph" w:styleId="Akapitzlist">
    <w:name w:val="List Paragraph"/>
    <w:basedOn w:val="Normalny"/>
    <w:uiPriority w:val="34"/>
    <w:qFormat/>
    <w:rsid w:val="005571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89810">
      <w:bodyDiv w:val="1"/>
      <w:marLeft w:val="0"/>
      <w:marRight w:val="0"/>
      <w:marTop w:val="0"/>
      <w:marBottom w:val="0"/>
      <w:divBdr>
        <w:top w:val="none" w:sz="0" w:space="0" w:color="auto"/>
        <w:left w:val="none" w:sz="0" w:space="0" w:color="auto"/>
        <w:bottom w:val="none" w:sz="0" w:space="0" w:color="auto"/>
        <w:right w:val="none" w:sz="0" w:space="0" w:color="auto"/>
      </w:divBdr>
    </w:div>
    <w:div w:id="446391855">
      <w:bodyDiv w:val="1"/>
      <w:marLeft w:val="0"/>
      <w:marRight w:val="0"/>
      <w:marTop w:val="0"/>
      <w:marBottom w:val="0"/>
      <w:divBdr>
        <w:top w:val="none" w:sz="0" w:space="0" w:color="auto"/>
        <w:left w:val="none" w:sz="0" w:space="0" w:color="auto"/>
        <w:bottom w:val="none" w:sz="0" w:space="0" w:color="auto"/>
        <w:right w:val="none" w:sz="0" w:space="0" w:color="auto"/>
      </w:divBdr>
    </w:div>
    <w:div w:id="840703516">
      <w:bodyDiv w:val="1"/>
      <w:marLeft w:val="0"/>
      <w:marRight w:val="0"/>
      <w:marTop w:val="0"/>
      <w:marBottom w:val="0"/>
      <w:divBdr>
        <w:top w:val="none" w:sz="0" w:space="0" w:color="auto"/>
        <w:left w:val="none" w:sz="0" w:space="0" w:color="auto"/>
        <w:bottom w:val="none" w:sz="0" w:space="0" w:color="auto"/>
        <w:right w:val="none" w:sz="0" w:space="0" w:color="auto"/>
      </w:divBdr>
    </w:div>
    <w:div w:id="955870278">
      <w:bodyDiv w:val="1"/>
      <w:marLeft w:val="0"/>
      <w:marRight w:val="0"/>
      <w:marTop w:val="0"/>
      <w:marBottom w:val="0"/>
      <w:divBdr>
        <w:top w:val="none" w:sz="0" w:space="0" w:color="auto"/>
        <w:left w:val="none" w:sz="0" w:space="0" w:color="auto"/>
        <w:bottom w:val="none" w:sz="0" w:space="0" w:color="auto"/>
        <w:right w:val="none" w:sz="0" w:space="0" w:color="auto"/>
      </w:divBdr>
    </w:div>
    <w:div w:id="183946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3</Pages>
  <Words>863</Words>
  <Characters>5178</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Protokół z konsultacji</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Protokół z konsultacji</dc:title>
  <dc:subject/>
  <dc:creator>Dawidko Agata</dc:creator>
  <cp:keywords/>
  <dc:description/>
  <cp:lastModifiedBy>Dawidko Agata</cp:lastModifiedBy>
  <cp:revision>8</cp:revision>
  <dcterms:created xsi:type="dcterms:W3CDTF">2026-03-19T13:21:00Z</dcterms:created>
  <dcterms:modified xsi:type="dcterms:W3CDTF">2026-03-23T14:28:00Z</dcterms:modified>
</cp:coreProperties>
</file>